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DA9" w:rsidRPr="006A2DA9" w:rsidRDefault="006A2DA9" w:rsidP="006A2DA9">
      <w:pPr>
        <w:pStyle w:val="c19centre"/>
        <w:spacing w:line="276" w:lineRule="auto"/>
        <w:rPr>
          <w:rFonts w:ascii="Arial" w:hAnsi="Arial" w:cs="Arial"/>
          <w:b/>
        </w:rPr>
      </w:pPr>
      <w:r w:rsidRPr="006A2DA9">
        <w:rPr>
          <w:rFonts w:ascii="Arial" w:hAnsi="Arial" w:cs="Arial"/>
          <w:b/>
        </w:rPr>
        <w:t>ACÓRDÃO DO TRIBUNAL DE JUSTIÇA (Grande Secção)</w:t>
      </w:r>
    </w:p>
    <w:p w:rsidR="006A2DA9" w:rsidRPr="006A2DA9" w:rsidRDefault="006A2DA9" w:rsidP="006A2DA9">
      <w:pPr>
        <w:pStyle w:val="c19centre"/>
        <w:spacing w:line="276" w:lineRule="auto"/>
        <w:rPr>
          <w:rFonts w:ascii="Arial" w:hAnsi="Arial" w:cs="Arial"/>
          <w:b/>
        </w:rPr>
      </w:pPr>
      <w:r w:rsidRPr="006A2DA9">
        <w:rPr>
          <w:rFonts w:ascii="Arial" w:hAnsi="Arial" w:cs="Arial"/>
          <w:b/>
        </w:rPr>
        <w:t xml:space="preserve">3 </w:t>
      </w:r>
      <w:proofErr w:type="gramStart"/>
      <w:r w:rsidRPr="006A2DA9">
        <w:rPr>
          <w:rFonts w:ascii="Arial" w:hAnsi="Arial" w:cs="Arial"/>
          <w:b/>
        </w:rPr>
        <w:t>de</w:t>
      </w:r>
      <w:proofErr w:type="gramEnd"/>
      <w:r w:rsidRPr="006A2DA9">
        <w:rPr>
          <w:rFonts w:ascii="Arial" w:hAnsi="Arial" w:cs="Arial"/>
          <w:b/>
        </w:rPr>
        <w:t xml:space="preserve"> Maio de 2011 (</w:t>
      </w:r>
      <w:bookmarkStart w:id="0" w:name="Footref*"/>
      <w:r w:rsidRPr="006A2DA9">
        <w:rPr>
          <w:rFonts w:ascii="Arial" w:hAnsi="Arial" w:cs="Arial"/>
          <w:b/>
        </w:rPr>
        <w:fldChar w:fldCharType="begin"/>
      </w:r>
      <w:r w:rsidRPr="006A2DA9">
        <w:rPr>
          <w:rFonts w:ascii="Arial" w:hAnsi="Arial" w:cs="Arial"/>
          <w:b/>
        </w:rPr>
        <w:instrText xml:space="preserve"> HYPERLINK "http://curia.europa.eu/juris/document/document.jsf?text=&amp;docid=81917&amp;pageIndex=0&amp;doclang=PT&amp;mode=doc&amp;dir=&amp;occ=first&amp;part=1&amp;cid=400232" \l "Footnote*" </w:instrText>
      </w:r>
      <w:r w:rsidRPr="006A2DA9">
        <w:rPr>
          <w:rFonts w:ascii="Arial" w:hAnsi="Arial" w:cs="Arial"/>
          <w:b/>
        </w:rPr>
        <w:fldChar w:fldCharType="separate"/>
      </w:r>
      <w:r w:rsidRPr="006A2DA9">
        <w:rPr>
          <w:rStyle w:val="Hyperlink"/>
          <w:rFonts w:ascii="Arial" w:hAnsi="Arial" w:cs="Arial"/>
          <w:b/>
        </w:rPr>
        <w:t>*</w:t>
      </w:r>
      <w:r w:rsidRPr="006A2DA9">
        <w:rPr>
          <w:rFonts w:ascii="Arial" w:hAnsi="Arial" w:cs="Arial"/>
          <w:b/>
        </w:rPr>
        <w:fldChar w:fldCharType="end"/>
      </w:r>
      <w:bookmarkEnd w:id="0"/>
      <w:r w:rsidRPr="006A2DA9">
        <w:rPr>
          <w:rFonts w:ascii="Arial" w:hAnsi="Arial" w:cs="Arial"/>
          <w:b/>
        </w:rPr>
        <w:t>)</w:t>
      </w:r>
    </w:p>
    <w:p w:rsidR="006A2DA9" w:rsidRPr="006A2DA9" w:rsidRDefault="006A2DA9" w:rsidP="006A2DA9">
      <w:pPr>
        <w:pStyle w:val="c71indicateur"/>
        <w:spacing w:line="276" w:lineRule="auto"/>
        <w:rPr>
          <w:rFonts w:ascii="Arial" w:hAnsi="Arial" w:cs="Arial"/>
          <w:b/>
        </w:rPr>
      </w:pPr>
      <w:r w:rsidRPr="006A2DA9">
        <w:rPr>
          <w:rFonts w:ascii="Arial" w:hAnsi="Arial" w:cs="Arial"/>
          <w:b/>
        </w:rPr>
        <w:t xml:space="preserve">«Concorrência – Regulamento (CE) </w:t>
      </w:r>
      <w:proofErr w:type="spellStart"/>
      <w:r w:rsidRPr="006A2DA9">
        <w:rPr>
          <w:rFonts w:ascii="Arial" w:hAnsi="Arial" w:cs="Arial"/>
          <w:b/>
        </w:rPr>
        <w:t>n.°</w:t>
      </w:r>
      <w:proofErr w:type="spellEnd"/>
      <w:r w:rsidRPr="006A2DA9">
        <w:rPr>
          <w:rFonts w:ascii="Arial" w:hAnsi="Arial" w:cs="Arial"/>
          <w:b/>
        </w:rPr>
        <w:t xml:space="preserve"> 1/2003 – Artigo 5.° – Abuso de posição dominante – Competência das autoridades da concorrência dos Estados</w:t>
      </w:r>
      <w:r w:rsidRPr="006A2DA9">
        <w:rPr>
          <w:rFonts w:ascii="Arial" w:hAnsi="Arial" w:cs="Arial"/>
          <w:b/>
        </w:rPr>
        <w:noBreakHyphen/>
        <w:t>Membros para declarar a inexistência de violação do artigo 102.° TFUE»</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No processo C</w:t>
      </w:r>
      <w:r w:rsidRPr="006A2DA9">
        <w:rPr>
          <w:rFonts w:ascii="Arial" w:hAnsi="Arial" w:cs="Arial"/>
          <w:sz w:val="22"/>
          <w:szCs w:val="22"/>
        </w:rPr>
        <w:noBreakHyphen/>
        <w:t>375/09,</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que</w:t>
      </w:r>
      <w:proofErr w:type="gramEnd"/>
      <w:r w:rsidRPr="006A2DA9">
        <w:rPr>
          <w:rFonts w:ascii="Arial" w:hAnsi="Arial" w:cs="Arial"/>
          <w:sz w:val="22"/>
          <w:szCs w:val="22"/>
        </w:rPr>
        <w:t xml:space="preserve"> tem por </w:t>
      </w:r>
      <w:proofErr w:type="spellStart"/>
      <w:r w:rsidRPr="006A2DA9">
        <w:rPr>
          <w:rFonts w:ascii="Arial" w:hAnsi="Arial" w:cs="Arial"/>
          <w:sz w:val="22"/>
          <w:szCs w:val="22"/>
        </w:rPr>
        <w:t>objecto</w:t>
      </w:r>
      <w:proofErr w:type="spellEnd"/>
      <w:r w:rsidRPr="006A2DA9">
        <w:rPr>
          <w:rFonts w:ascii="Arial" w:hAnsi="Arial" w:cs="Arial"/>
          <w:sz w:val="22"/>
          <w:szCs w:val="22"/>
        </w:rPr>
        <w:t xml:space="preserve"> um pedido de decisão prejudicial nos termos do artigo 234.° CE, apresentado pelo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Najwyższy</w:t>
      </w:r>
      <w:proofErr w:type="spellEnd"/>
      <w:r w:rsidRPr="006A2DA9">
        <w:rPr>
          <w:rFonts w:ascii="Arial" w:hAnsi="Arial" w:cs="Arial"/>
          <w:sz w:val="22"/>
          <w:szCs w:val="22"/>
        </w:rPr>
        <w:t xml:space="preserve"> (Polónia), por decisão de 15 de Julho de 2009, entrado no Tribunal de Justiça em 23 de Setembro de 2009, no processo</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b/>
          <w:bCs/>
          <w:sz w:val="22"/>
          <w:szCs w:val="22"/>
        </w:rPr>
        <w:t xml:space="preserve">Prezes </w:t>
      </w:r>
      <w:proofErr w:type="spellStart"/>
      <w:r w:rsidRPr="006A2DA9">
        <w:rPr>
          <w:rFonts w:ascii="Arial" w:hAnsi="Arial" w:cs="Arial"/>
          <w:b/>
          <w:bCs/>
          <w:sz w:val="22"/>
          <w:szCs w:val="22"/>
        </w:rPr>
        <w:t>Urzędu</w:t>
      </w:r>
      <w:proofErr w:type="spellEnd"/>
      <w:r w:rsidRPr="006A2DA9">
        <w:rPr>
          <w:rFonts w:ascii="Arial" w:hAnsi="Arial" w:cs="Arial"/>
          <w:b/>
          <w:bCs/>
          <w:sz w:val="22"/>
          <w:szCs w:val="22"/>
        </w:rPr>
        <w:t xml:space="preserve"> </w:t>
      </w:r>
      <w:proofErr w:type="spellStart"/>
      <w:r w:rsidRPr="006A2DA9">
        <w:rPr>
          <w:rFonts w:ascii="Arial" w:hAnsi="Arial" w:cs="Arial"/>
          <w:b/>
          <w:bCs/>
          <w:sz w:val="22"/>
          <w:szCs w:val="22"/>
        </w:rPr>
        <w:t>Ochrony</w:t>
      </w:r>
      <w:proofErr w:type="spellEnd"/>
      <w:r w:rsidRPr="006A2DA9">
        <w:rPr>
          <w:rFonts w:ascii="Arial" w:hAnsi="Arial" w:cs="Arial"/>
          <w:b/>
          <w:bCs/>
          <w:sz w:val="22"/>
          <w:szCs w:val="22"/>
        </w:rPr>
        <w:t xml:space="preserve"> </w:t>
      </w:r>
      <w:proofErr w:type="spellStart"/>
      <w:r w:rsidRPr="006A2DA9">
        <w:rPr>
          <w:rFonts w:ascii="Arial" w:hAnsi="Arial" w:cs="Arial"/>
          <w:b/>
          <w:bCs/>
          <w:sz w:val="22"/>
          <w:szCs w:val="22"/>
        </w:rPr>
        <w:t>Konkurencji</w:t>
      </w:r>
      <w:proofErr w:type="spellEnd"/>
      <w:r w:rsidRPr="006A2DA9">
        <w:rPr>
          <w:rFonts w:ascii="Arial" w:hAnsi="Arial" w:cs="Arial"/>
          <w:b/>
          <w:bCs/>
          <w:sz w:val="22"/>
          <w:szCs w:val="22"/>
        </w:rPr>
        <w:t xml:space="preserve"> i </w:t>
      </w:r>
      <w:proofErr w:type="spellStart"/>
      <w:r w:rsidRPr="006A2DA9">
        <w:rPr>
          <w:rFonts w:ascii="Arial" w:hAnsi="Arial" w:cs="Arial"/>
          <w:b/>
          <w:bCs/>
          <w:sz w:val="22"/>
          <w:szCs w:val="22"/>
        </w:rPr>
        <w:t>Konsumentów</w:t>
      </w:r>
      <w:proofErr w:type="spellEnd"/>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contra</w:t>
      </w:r>
      <w:proofErr w:type="gramEnd"/>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b/>
          <w:bCs/>
          <w:sz w:val="22"/>
          <w:szCs w:val="22"/>
        </w:rPr>
        <w:t xml:space="preserve">Tele2 </w:t>
      </w:r>
      <w:proofErr w:type="spellStart"/>
      <w:r w:rsidRPr="006A2DA9">
        <w:rPr>
          <w:rFonts w:ascii="Arial" w:hAnsi="Arial" w:cs="Arial"/>
          <w:b/>
          <w:bCs/>
          <w:sz w:val="22"/>
          <w:szCs w:val="22"/>
        </w:rPr>
        <w:t>Polska</w:t>
      </w:r>
      <w:proofErr w:type="spellEnd"/>
      <w:r w:rsidRPr="006A2DA9">
        <w:rPr>
          <w:rFonts w:ascii="Arial" w:hAnsi="Arial" w:cs="Arial"/>
          <w:b/>
          <w:bCs/>
          <w:sz w:val="22"/>
          <w:szCs w:val="22"/>
        </w:rPr>
        <w:t xml:space="preserve"> </w:t>
      </w:r>
      <w:proofErr w:type="spellStart"/>
      <w:r w:rsidRPr="006A2DA9">
        <w:rPr>
          <w:rFonts w:ascii="Arial" w:hAnsi="Arial" w:cs="Arial"/>
          <w:b/>
          <w:bCs/>
          <w:sz w:val="22"/>
          <w:szCs w:val="22"/>
        </w:rPr>
        <w:t>sp</w:t>
      </w:r>
      <w:proofErr w:type="spellEnd"/>
      <w:r w:rsidRPr="006A2DA9">
        <w:rPr>
          <w:rFonts w:ascii="Arial" w:hAnsi="Arial" w:cs="Arial"/>
          <w:b/>
          <w:bCs/>
          <w:sz w:val="22"/>
          <w:szCs w:val="22"/>
        </w:rPr>
        <w:t xml:space="preserve">. </w:t>
      </w:r>
      <w:proofErr w:type="gramStart"/>
      <w:r w:rsidRPr="006A2DA9">
        <w:rPr>
          <w:rFonts w:ascii="Arial" w:hAnsi="Arial" w:cs="Arial"/>
          <w:b/>
          <w:bCs/>
          <w:sz w:val="22"/>
          <w:szCs w:val="22"/>
        </w:rPr>
        <w:t>z</w:t>
      </w:r>
      <w:proofErr w:type="gramEnd"/>
      <w:r w:rsidRPr="006A2DA9">
        <w:rPr>
          <w:rFonts w:ascii="Arial" w:hAnsi="Arial" w:cs="Arial"/>
          <w:b/>
          <w:bCs/>
          <w:sz w:val="22"/>
          <w:szCs w:val="22"/>
        </w:rPr>
        <w:t xml:space="preserve"> </w:t>
      </w:r>
      <w:proofErr w:type="spellStart"/>
      <w:r w:rsidRPr="006A2DA9">
        <w:rPr>
          <w:rFonts w:ascii="Arial" w:hAnsi="Arial" w:cs="Arial"/>
          <w:b/>
          <w:bCs/>
          <w:sz w:val="22"/>
          <w:szCs w:val="22"/>
        </w:rPr>
        <w:t>o.o</w:t>
      </w:r>
      <w:proofErr w:type="spellEnd"/>
      <w:r w:rsidRPr="006A2DA9">
        <w:rPr>
          <w:rFonts w:ascii="Arial" w:hAnsi="Arial" w:cs="Arial"/>
          <w:b/>
          <w:bCs/>
          <w:sz w:val="22"/>
          <w:szCs w:val="22"/>
        </w:rPr>
        <w:t xml:space="preserve">., </w:t>
      </w:r>
      <w:proofErr w:type="spellStart"/>
      <w:r w:rsidRPr="006A2DA9">
        <w:rPr>
          <w:rFonts w:ascii="Arial" w:hAnsi="Arial" w:cs="Arial"/>
          <w:b/>
          <w:bCs/>
          <w:sz w:val="22"/>
          <w:szCs w:val="22"/>
        </w:rPr>
        <w:t>actualmente</w:t>
      </w:r>
      <w:proofErr w:type="spellEnd"/>
      <w:r w:rsidRPr="006A2DA9">
        <w:rPr>
          <w:rFonts w:ascii="Arial" w:hAnsi="Arial" w:cs="Arial"/>
          <w:b/>
          <w:bCs/>
          <w:sz w:val="22"/>
          <w:szCs w:val="22"/>
        </w:rPr>
        <w:t xml:space="preserve"> </w:t>
      </w:r>
      <w:proofErr w:type="spellStart"/>
      <w:r w:rsidRPr="006A2DA9">
        <w:rPr>
          <w:rFonts w:ascii="Arial" w:hAnsi="Arial" w:cs="Arial"/>
          <w:b/>
          <w:bCs/>
          <w:sz w:val="22"/>
          <w:szCs w:val="22"/>
        </w:rPr>
        <w:t>Netia</w:t>
      </w:r>
      <w:proofErr w:type="spellEnd"/>
      <w:r w:rsidRPr="006A2DA9">
        <w:rPr>
          <w:rFonts w:ascii="Arial" w:hAnsi="Arial" w:cs="Arial"/>
          <w:b/>
          <w:bCs/>
          <w:sz w:val="22"/>
          <w:szCs w:val="22"/>
        </w:rPr>
        <w:t xml:space="preserve"> SA,</w:t>
      </w:r>
    </w:p>
    <w:p w:rsidR="006A2DA9" w:rsidRPr="006A2DA9" w:rsidRDefault="006A2DA9" w:rsidP="006A2DA9">
      <w:pPr>
        <w:pStyle w:val="c19centre"/>
        <w:spacing w:line="276" w:lineRule="auto"/>
        <w:jc w:val="both"/>
        <w:rPr>
          <w:rFonts w:ascii="Arial" w:hAnsi="Arial" w:cs="Arial"/>
          <w:sz w:val="22"/>
          <w:szCs w:val="22"/>
        </w:rPr>
      </w:pPr>
      <w:r w:rsidRPr="006A2DA9">
        <w:rPr>
          <w:rFonts w:ascii="Arial" w:hAnsi="Arial" w:cs="Arial"/>
          <w:sz w:val="22"/>
          <w:szCs w:val="22"/>
        </w:rPr>
        <w:t>O TRIBUNAL DE JUSTIÇA (Grande Secção),</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composto</w:t>
      </w:r>
      <w:proofErr w:type="gramEnd"/>
      <w:r w:rsidRPr="006A2DA9">
        <w:rPr>
          <w:rFonts w:ascii="Arial" w:hAnsi="Arial" w:cs="Arial"/>
          <w:sz w:val="22"/>
          <w:szCs w:val="22"/>
        </w:rPr>
        <w:t xml:space="preserve"> por: V. </w:t>
      </w:r>
      <w:proofErr w:type="spellStart"/>
      <w:r w:rsidRPr="006A2DA9">
        <w:rPr>
          <w:rFonts w:ascii="Arial" w:hAnsi="Arial" w:cs="Arial"/>
          <w:sz w:val="22"/>
          <w:szCs w:val="22"/>
        </w:rPr>
        <w:t>Skouris</w:t>
      </w:r>
      <w:proofErr w:type="spellEnd"/>
      <w:r w:rsidRPr="006A2DA9">
        <w:rPr>
          <w:rFonts w:ascii="Arial" w:hAnsi="Arial" w:cs="Arial"/>
          <w:sz w:val="22"/>
          <w:szCs w:val="22"/>
        </w:rPr>
        <w:t xml:space="preserve">, presidente, A. </w:t>
      </w:r>
      <w:proofErr w:type="spellStart"/>
      <w:r w:rsidRPr="006A2DA9">
        <w:rPr>
          <w:rFonts w:ascii="Arial" w:hAnsi="Arial" w:cs="Arial"/>
          <w:sz w:val="22"/>
          <w:szCs w:val="22"/>
        </w:rPr>
        <w:t>Tizzano</w:t>
      </w:r>
      <w:proofErr w:type="spellEnd"/>
      <w:r w:rsidRPr="006A2DA9">
        <w:rPr>
          <w:rFonts w:ascii="Arial" w:hAnsi="Arial" w:cs="Arial"/>
          <w:sz w:val="22"/>
          <w:szCs w:val="22"/>
        </w:rPr>
        <w:t xml:space="preserve">, J. N. Cunha Rodrigues, K. </w:t>
      </w:r>
      <w:proofErr w:type="spellStart"/>
      <w:r w:rsidRPr="006A2DA9">
        <w:rPr>
          <w:rFonts w:ascii="Arial" w:hAnsi="Arial" w:cs="Arial"/>
          <w:sz w:val="22"/>
          <w:szCs w:val="22"/>
        </w:rPr>
        <w:t>Lenaerts</w:t>
      </w:r>
      <w:proofErr w:type="spellEnd"/>
      <w:r w:rsidRPr="006A2DA9">
        <w:rPr>
          <w:rFonts w:ascii="Arial" w:hAnsi="Arial" w:cs="Arial"/>
          <w:sz w:val="22"/>
          <w:szCs w:val="22"/>
        </w:rPr>
        <w:t>, J.</w:t>
      </w:r>
      <w:r w:rsidRPr="006A2DA9">
        <w:rPr>
          <w:rFonts w:ascii="Arial" w:hAnsi="Arial" w:cs="Arial"/>
          <w:sz w:val="22"/>
          <w:szCs w:val="22"/>
        </w:rPr>
        <w:noBreakHyphen/>
        <w:t xml:space="preserve">C. </w:t>
      </w:r>
      <w:proofErr w:type="spellStart"/>
      <w:r w:rsidRPr="006A2DA9">
        <w:rPr>
          <w:rFonts w:ascii="Arial" w:hAnsi="Arial" w:cs="Arial"/>
          <w:sz w:val="22"/>
          <w:szCs w:val="22"/>
        </w:rPr>
        <w:t>Bonichot</w:t>
      </w:r>
      <w:proofErr w:type="spellEnd"/>
      <w:r w:rsidRPr="006A2DA9">
        <w:rPr>
          <w:rFonts w:ascii="Arial" w:hAnsi="Arial" w:cs="Arial"/>
          <w:sz w:val="22"/>
          <w:szCs w:val="22"/>
        </w:rPr>
        <w:t xml:space="preserve">, D. </w:t>
      </w:r>
      <w:proofErr w:type="spellStart"/>
      <w:r w:rsidRPr="006A2DA9">
        <w:rPr>
          <w:rFonts w:ascii="Arial" w:hAnsi="Arial" w:cs="Arial"/>
          <w:sz w:val="22"/>
          <w:szCs w:val="22"/>
        </w:rPr>
        <w:t>Šváby</w:t>
      </w:r>
      <w:proofErr w:type="spellEnd"/>
      <w:r w:rsidRPr="006A2DA9">
        <w:rPr>
          <w:rFonts w:ascii="Arial" w:hAnsi="Arial" w:cs="Arial"/>
          <w:sz w:val="22"/>
          <w:szCs w:val="22"/>
        </w:rPr>
        <w:t xml:space="preserve">, presidentes de secção, A. Rosas, E. </w:t>
      </w:r>
      <w:proofErr w:type="spellStart"/>
      <w:r w:rsidRPr="006A2DA9">
        <w:rPr>
          <w:rFonts w:ascii="Arial" w:hAnsi="Arial" w:cs="Arial"/>
          <w:sz w:val="22"/>
          <w:szCs w:val="22"/>
        </w:rPr>
        <w:t>Juhász</w:t>
      </w:r>
      <w:proofErr w:type="spellEnd"/>
      <w:r w:rsidRPr="006A2DA9">
        <w:rPr>
          <w:rFonts w:ascii="Arial" w:hAnsi="Arial" w:cs="Arial"/>
          <w:sz w:val="22"/>
          <w:szCs w:val="22"/>
        </w:rPr>
        <w:t xml:space="preserve"> (relator), J. </w:t>
      </w:r>
      <w:proofErr w:type="spellStart"/>
      <w:r w:rsidRPr="006A2DA9">
        <w:rPr>
          <w:rFonts w:ascii="Arial" w:hAnsi="Arial" w:cs="Arial"/>
          <w:sz w:val="22"/>
          <w:szCs w:val="22"/>
        </w:rPr>
        <w:t>Malenovský</w:t>
      </w:r>
      <w:proofErr w:type="spellEnd"/>
      <w:r w:rsidRPr="006A2DA9">
        <w:rPr>
          <w:rFonts w:ascii="Arial" w:hAnsi="Arial" w:cs="Arial"/>
          <w:sz w:val="22"/>
          <w:szCs w:val="22"/>
        </w:rPr>
        <w:t xml:space="preserve">, E. </w:t>
      </w:r>
      <w:proofErr w:type="spellStart"/>
      <w:r w:rsidRPr="006A2DA9">
        <w:rPr>
          <w:rFonts w:ascii="Arial" w:hAnsi="Arial" w:cs="Arial"/>
          <w:sz w:val="22"/>
          <w:szCs w:val="22"/>
        </w:rPr>
        <w:t>Levits</w:t>
      </w:r>
      <w:proofErr w:type="spellEnd"/>
      <w:r w:rsidRPr="006A2DA9">
        <w:rPr>
          <w:rFonts w:ascii="Arial" w:hAnsi="Arial" w:cs="Arial"/>
          <w:sz w:val="22"/>
          <w:szCs w:val="22"/>
        </w:rPr>
        <w:t xml:space="preserve"> e A. Ó </w:t>
      </w:r>
      <w:proofErr w:type="spellStart"/>
      <w:r w:rsidRPr="006A2DA9">
        <w:rPr>
          <w:rFonts w:ascii="Arial" w:hAnsi="Arial" w:cs="Arial"/>
          <w:sz w:val="22"/>
          <w:szCs w:val="22"/>
        </w:rPr>
        <w:t>Caoimh</w:t>
      </w:r>
      <w:proofErr w:type="spellEnd"/>
      <w:r w:rsidRPr="006A2DA9">
        <w:rPr>
          <w:rFonts w:ascii="Arial" w:hAnsi="Arial" w:cs="Arial"/>
          <w:sz w:val="22"/>
          <w:szCs w:val="22"/>
        </w:rPr>
        <w:t>, juízes,</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advogado</w:t>
      </w:r>
      <w:r w:rsidRPr="006A2DA9">
        <w:rPr>
          <w:rFonts w:ascii="Arial" w:hAnsi="Arial" w:cs="Arial"/>
          <w:sz w:val="22"/>
          <w:szCs w:val="22"/>
        </w:rPr>
        <w:noBreakHyphen/>
        <w:t>geral</w:t>
      </w:r>
      <w:proofErr w:type="gramEnd"/>
      <w:r w:rsidRPr="006A2DA9">
        <w:rPr>
          <w:rFonts w:ascii="Arial" w:hAnsi="Arial" w:cs="Arial"/>
          <w:sz w:val="22"/>
          <w:szCs w:val="22"/>
        </w:rPr>
        <w:t xml:space="preserve">: J. </w:t>
      </w:r>
      <w:proofErr w:type="spellStart"/>
      <w:r w:rsidRPr="006A2DA9">
        <w:rPr>
          <w:rFonts w:ascii="Arial" w:hAnsi="Arial" w:cs="Arial"/>
          <w:sz w:val="22"/>
          <w:szCs w:val="22"/>
        </w:rPr>
        <w:t>Mazák</w:t>
      </w:r>
      <w:proofErr w:type="spellEnd"/>
      <w:r w:rsidRPr="006A2DA9">
        <w:rPr>
          <w:rFonts w:ascii="Arial" w:hAnsi="Arial" w:cs="Arial"/>
          <w:sz w:val="22"/>
          <w:szCs w:val="22"/>
        </w:rPr>
        <w:t>,</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secretário</w:t>
      </w:r>
      <w:proofErr w:type="gramEnd"/>
      <w:r w:rsidRPr="006A2DA9">
        <w:rPr>
          <w:rFonts w:ascii="Arial" w:hAnsi="Arial" w:cs="Arial"/>
          <w:sz w:val="22"/>
          <w:szCs w:val="22"/>
        </w:rPr>
        <w:t xml:space="preserve">: K. </w:t>
      </w:r>
      <w:proofErr w:type="spellStart"/>
      <w:r w:rsidRPr="006A2DA9">
        <w:rPr>
          <w:rFonts w:ascii="Arial" w:hAnsi="Arial" w:cs="Arial"/>
          <w:sz w:val="22"/>
          <w:szCs w:val="22"/>
        </w:rPr>
        <w:t>Malacek</w:t>
      </w:r>
      <w:proofErr w:type="spellEnd"/>
      <w:r w:rsidRPr="006A2DA9">
        <w:rPr>
          <w:rFonts w:ascii="Arial" w:hAnsi="Arial" w:cs="Arial"/>
          <w:sz w:val="22"/>
          <w:szCs w:val="22"/>
        </w:rPr>
        <w:t>, administrador,</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vistos</w:t>
      </w:r>
      <w:proofErr w:type="gramEnd"/>
      <w:r w:rsidRPr="006A2DA9">
        <w:rPr>
          <w:rFonts w:ascii="Arial" w:hAnsi="Arial" w:cs="Arial"/>
          <w:sz w:val="22"/>
          <w:szCs w:val="22"/>
        </w:rPr>
        <w:t xml:space="preserve"> os autos e após a audiência de 21 de Setembro de 2010,</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vistas</w:t>
      </w:r>
      <w:proofErr w:type="gramEnd"/>
      <w:r w:rsidRPr="006A2DA9">
        <w:rPr>
          <w:rFonts w:ascii="Arial" w:hAnsi="Arial" w:cs="Arial"/>
          <w:sz w:val="22"/>
          <w:szCs w:val="22"/>
        </w:rPr>
        <w:t xml:space="preserve"> as observações apresentadas:</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em</w:t>
      </w:r>
      <w:proofErr w:type="gramEnd"/>
      <w:r w:rsidRPr="006A2DA9">
        <w:rPr>
          <w:rFonts w:ascii="Arial" w:hAnsi="Arial" w:cs="Arial"/>
          <w:sz w:val="22"/>
          <w:szCs w:val="22"/>
        </w:rPr>
        <w:t xml:space="preserve"> representação do Governo polaco, por M. </w:t>
      </w:r>
      <w:proofErr w:type="spellStart"/>
      <w:r w:rsidRPr="006A2DA9">
        <w:rPr>
          <w:rFonts w:ascii="Arial" w:hAnsi="Arial" w:cs="Arial"/>
          <w:sz w:val="22"/>
          <w:szCs w:val="22"/>
        </w:rPr>
        <w:t>Dowgielewicz</w:t>
      </w:r>
      <w:proofErr w:type="spellEnd"/>
      <w:r w:rsidRPr="006A2DA9">
        <w:rPr>
          <w:rFonts w:ascii="Arial" w:hAnsi="Arial" w:cs="Arial"/>
          <w:sz w:val="22"/>
          <w:szCs w:val="22"/>
        </w:rPr>
        <w:t xml:space="preserve">, K. </w:t>
      </w:r>
      <w:proofErr w:type="spellStart"/>
      <w:r w:rsidRPr="006A2DA9">
        <w:rPr>
          <w:rFonts w:ascii="Arial" w:hAnsi="Arial" w:cs="Arial"/>
          <w:sz w:val="22"/>
          <w:szCs w:val="22"/>
        </w:rPr>
        <w:t>Zawisza</w:t>
      </w:r>
      <w:proofErr w:type="spellEnd"/>
      <w:r w:rsidRPr="006A2DA9">
        <w:rPr>
          <w:rFonts w:ascii="Arial" w:hAnsi="Arial" w:cs="Arial"/>
          <w:sz w:val="22"/>
          <w:szCs w:val="22"/>
        </w:rPr>
        <w:t xml:space="preserve"> e M. </w:t>
      </w:r>
      <w:proofErr w:type="spellStart"/>
      <w:r w:rsidRPr="006A2DA9">
        <w:rPr>
          <w:rFonts w:ascii="Arial" w:hAnsi="Arial" w:cs="Arial"/>
          <w:sz w:val="22"/>
          <w:szCs w:val="22"/>
        </w:rPr>
        <w:t>Laszuk</w:t>
      </w:r>
      <w:proofErr w:type="spellEnd"/>
      <w:r w:rsidRPr="006A2DA9">
        <w:rPr>
          <w:rFonts w:ascii="Arial" w:hAnsi="Arial" w:cs="Arial"/>
          <w:sz w:val="22"/>
          <w:szCs w:val="22"/>
        </w:rPr>
        <w:t>, na qualidade de agentes,</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em</w:t>
      </w:r>
      <w:proofErr w:type="gramEnd"/>
      <w:r w:rsidRPr="006A2DA9">
        <w:rPr>
          <w:rFonts w:ascii="Arial" w:hAnsi="Arial" w:cs="Arial"/>
          <w:sz w:val="22"/>
          <w:szCs w:val="22"/>
        </w:rPr>
        <w:t xml:space="preserve"> representação do Governo checo, por M. </w:t>
      </w:r>
      <w:proofErr w:type="spellStart"/>
      <w:r w:rsidRPr="006A2DA9">
        <w:rPr>
          <w:rFonts w:ascii="Arial" w:hAnsi="Arial" w:cs="Arial"/>
          <w:sz w:val="22"/>
          <w:szCs w:val="22"/>
        </w:rPr>
        <w:t>Smolek</w:t>
      </w:r>
      <w:proofErr w:type="spellEnd"/>
      <w:r w:rsidRPr="006A2DA9">
        <w:rPr>
          <w:rFonts w:ascii="Arial" w:hAnsi="Arial" w:cs="Arial"/>
          <w:sz w:val="22"/>
          <w:szCs w:val="22"/>
        </w:rPr>
        <w:t>, na qualidade de agente,</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em</w:t>
      </w:r>
      <w:proofErr w:type="gramEnd"/>
      <w:r w:rsidRPr="006A2DA9">
        <w:rPr>
          <w:rFonts w:ascii="Arial" w:hAnsi="Arial" w:cs="Arial"/>
          <w:sz w:val="22"/>
          <w:szCs w:val="22"/>
        </w:rPr>
        <w:t xml:space="preserve"> representação da Comissão Europeia, por F. </w:t>
      </w:r>
      <w:proofErr w:type="spellStart"/>
      <w:r w:rsidRPr="006A2DA9">
        <w:rPr>
          <w:rFonts w:ascii="Arial" w:hAnsi="Arial" w:cs="Arial"/>
          <w:sz w:val="22"/>
          <w:szCs w:val="22"/>
        </w:rPr>
        <w:t>Castillo</w:t>
      </w:r>
      <w:proofErr w:type="spellEnd"/>
      <w:r w:rsidRPr="006A2DA9">
        <w:rPr>
          <w:rFonts w:ascii="Arial" w:hAnsi="Arial" w:cs="Arial"/>
          <w:sz w:val="22"/>
          <w:szCs w:val="22"/>
        </w:rPr>
        <w:t xml:space="preserve"> de la Torre e K. </w:t>
      </w:r>
      <w:proofErr w:type="spellStart"/>
      <w:r w:rsidRPr="006A2DA9">
        <w:rPr>
          <w:rFonts w:ascii="Arial" w:hAnsi="Arial" w:cs="Arial"/>
          <w:sz w:val="22"/>
          <w:szCs w:val="22"/>
        </w:rPr>
        <w:t>Mojzesowicz</w:t>
      </w:r>
      <w:proofErr w:type="spellEnd"/>
      <w:r w:rsidRPr="006A2DA9">
        <w:rPr>
          <w:rFonts w:ascii="Arial" w:hAnsi="Arial" w:cs="Arial"/>
          <w:sz w:val="22"/>
          <w:szCs w:val="22"/>
        </w:rPr>
        <w:t>, na qualidade de agentes,</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em</w:t>
      </w:r>
      <w:proofErr w:type="gramEnd"/>
      <w:r w:rsidRPr="006A2DA9">
        <w:rPr>
          <w:rFonts w:ascii="Arial" w:hAnsi="Arial" w:cs="Arial"/>
          <w:sz w:val="22"/>
          <w:szCs w:val="22"/>
        </w:rPr>
        <w:t xml:space="preserve"> representação do Órgão de Fiscalização da AECL, por X. Lewis e M. Schneider, na qualidade de agentes,</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lastRenderedPageBreak/>
        <w:t>ouvidas</w:t>
      </w:r>
      <w:proofErr w:type="gramEnd"/>
      <w:r w:rsidRPr="006A2DA9">
        <w:rPr>
          <w:rFonts w:ascii="Arial" w:hAnsi="Arial" w:cs="Arial"/>
          <w:sz w:val="22"/>
          <w:szCs w:val="22"/>
        </w:rPr>
        <w:t xml:space="preserve"> as conclusões do advogado</w:t>
      </w:r>
      <w:r w:rsidRPr="006A2DA9">
        <w:rPr>
          <w:rFonts w:ascii="Arial" w:hAnsi="Arial" w:cs="Arial"/>
          <w:sz w:val="22"/>
          <w:szCs w:val="22"/>
        </w:rPr>
        <w:noBreakHyphen/>
        <w:t>geral na audiência de 7 de Dezembro de 2010,</w:t>
      </w:r>
    </w:p>
    <w:p w:rsidR="006A2DA9" w:rsidRPr="006A2DA9" w:rsidRDefault="006A2DA9" w:rsidP="006A2DA9">
      <w:pPr>
        <w:pStyle w:val="c02alineaalta"/>
        <w:spacing w:line="276" w:lineRule="auto"/>
        <w:rPr>
          <w:rFonts w:ascii="Arial" w:hAnsi="Arial" w:cs="Arial"/>
          <w:sz w:val="22"/>
          <w:szCs w:val="22"/>
        </w:rPr>
      </w:pPr>
      <w:proofErr w:type="gramStart"/>
      <w:r w:rsidRPr="006A2DA9">
        <w:rPr>
          <w:rFonts w:ascii="Arial" w:hAnsi="Arial" w:cs="Arial"/>
          <w:sz w:val="22"/>
          <w:szCs w:val="22"/>
        </w:rPr>
        <w:t>profere</w:t>
      </w:r>
      <w:proofErr w:type="gramEnd"/>
      <w:r w:rsidRPr="006A2DA9">
        <w:rPr>
          <w:rFonts w:ascii="Arial" w:hAnsi="Arial" w:cs="Arial"/>
          <w:sz w:val="22"/>
          <w:szCs w:val="22"/>
        </w:rPr>
        <w:t xml:space="preserve"> o presente</w:t>
      </w:r>
    </w:p>
    <w:p w:rsidR="006A2DA9" w:rsidRPr="006A2DA9" w:rsidRDefault="006A2DA9" w:rsidP="006A2DA9">
      <w:pPr>
        <w:pStyle w:val="c75debutdesmotifs"/>
        <w:spacing w:line="276" w:lineRule="auto"/>
        <w:jc w:val="both"/>
        <w:rPr>
          <w:rFonts w:ascii="Arial" w:hAnsi="Arial" w:cs="Arial"/>
          <w:sz w:val="22"/>
          <w:szCs w:val="22"/>
        </w:rPr>
      </w:pPr>
      <w:r w:rsidRPr="006A2DA9">
        <w:rPr>
          <w:rFonts w:ascii="Arial" w:hAnsi="Arial" w:cs="Arial"/>
          <w:sz w:val="22"/>
          <w:szCs w:val="22"/>
        </w:rPr>
        <w:t>Acórdão</w:t>
      </w:r>
    </w:p>
    <w:p w:rsidR="006A2DA9" w:rsidRPr="006A2DA9" w:rsidRDefault="006A2DA9" w:rsidP="006A2DA9">
      <w:pPr>
        <w:pStyle w:val="c01pointnumerotealtn"/>
        <w:spacing w:line="276" w:lineRule="auto"/>
        <w:rPr>
          <w:rFonts w:ascii="Arial" w:hAnsi="Arial" w:cs="Arial"/>
          <w:sz w:val="22"/>
          <w:szCs w:val="22"/>
        </w:rPr>
      </w:pPr>
      <w:bookmarkStart w:id="1" w:name="point1"/>
      <w:r w:rsidRPr="006A2DA9">
        <w:rPr>
          <w:rFonts w:ascii="Arial" w:hAnsi="Arial" w:cs="Arial"/>
          <w:sz w:val="22"/>
          <w:szCs w:val="22"/>
        </w:rPr>
        <w:t>1</w:t>
      </w:r>
      <w:bookmarkEnd w:id="1"/>
      <w:r w:rsidRPr="006A2DA9">
        <w:rPr>
          <w:rFonts w:ascii="Arial" w:hAnsi="Arial" w:cs="Arial"/>
          <w:sz w:val="22"/>
          <w:szCs w:val="22"/>
        </w:rPr>
        <w:t xml:space="preserve"> O pedido de decisão prejudicial tem por </w:t>
      </w:r>
      <w:proofErr w:type="spellStart"/>
      <w:r w:rsidRPr="006A2DA9">
        <w:rPr>
          <w:rFonts w:ascii="Arial" w:hAnsi="Arial" w:cs="Arial"/>
          <w:sz w:val="22"/>
          <w:szCs w:val="22"/>
        </w:rPr>
        <w:t>objecto</w:t>
      </w:r>
      <w:proofErr w:type="spellEnd"/>
      <w:r w:rsidRPr="006A2DA9">
        <w:rPr>
          <w:rFonts w:ascii="Arial" w:hAnsi="Arial" w:cs="Arial"/>
          <w:sz w:val="22"/>
          <w:szCs w:val="22"/>
        </w:rPr>
        <w:t xml:space="preserve"> a interpretação do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(CE) </w:t>
      </w:r>
      <w:proofErr w:type="spellStart"/>
      <w:r w:rsidRPr="006A2DA9">
        <w:rPr>
          <w:rFonts w:ascii="Arial" w:hAnsi="Arial" w:cs="Arial"/>
          <w:sz w:val="22"/>
          <w:szCs w:val="22"/>
        </w:rPr>
        <w:t>n.°</w:t>
      </w:r>
      <w:proofErr w:type="spellEnd"/>
      <w:r w:rsidRPr="006A2DA9">
        <w:rPr>
          <w:rFonts w:ascii="Arial" w:hAnsi="Arial" w:cs="Arial"/>
          <w:sz w:val="22"/>
          <w:szCs w:val="22"/>
        </w:rPr>
        <w:t xml:space="preserve"> 1/2003 </w:t>
      </w:r>
      <w:proofErr w:type="gramStart"/>
      <w:r w:rsidRPr="006A2DA9">
        <w:rPr>
          <w:rFonts w:ascii="Arial" w:hAnsi="Arial" w:cs="Arial"/>
          <w:sz w:val="22"/>
          <w:szCs w:val="22"/>
        </w:rPr>
        <w:t>do</w:t>
      </w:r>
      <w:proofErr w:type="gramEnd"/>
      <w:r w:rsidRPr="006A2DA9">
        <w:rPr>
          <w:rFonts w:ascii="Arial" w:hAnsi="Arial" w:cs="Arial"/>
          <w:sz w:val="22"/>
          <w:szCs w:val="22"/>
        </w:rPr>
        <w:t xml:space="preserve"> Conselho, de 16 de Dezembro de 2002, relativo à execução das regras de concorrência estabelecidas nos artigos 81.° </w:t>
      </w:r>
      <w:proofErr w:type="gramStart"/>
      <w:r w:rsidRPr="006A2DA9">
        <w:rPr>
          <w:rFonts w:ascii="Arial" w:hAnsi="Arial" w:cs="Arial"/>
          <w:sz w:val="22"/>
          <w:szCs w:val="22"/>
        </w:rPr>
        <w:t>e</w:t>
      </w:r>
      <w:proofErr w:type="gramEnd"/>
      <w:r w:rsidRPr="006A2DA9">
        <w:rPr>
          <w:rFonts w:ascii="Arial" w:hAnsi="Arial" w:cs="Arial"/>
          <w:sz w:val="22"/>
          <w:szCs w:val="22"/>
        </w:rPr>
        <w:t xml:space="preserve"> 82.° </w:t>
      </w:r>
      <w:proofErr w:type="gramStart"/>
      <w:r w:rsidRPr="006A2DA9">
        <w:rPr>
          <w:rFonts w:ascii="Arial" w:hAnsi="Arial" w:cs="Arial"/>
          <w:sz w:val="22"/>
          <w:szCs w:val="22"/>
        </w:rPr>
        <w:t>do</w:t>
      </w:r>
      <w:proofErr w:type="gramEnd"/>
      <w:r w:rsidRPr="006A2DA9">
        <w:rPr>
          <w:rFonts w:ascii="Arial" w:hAnsi="Arial" w:cs="Arial"/>
          <w:sz w:val="22"/>
          <w:szCs w:val="22"/>
        </w:rPr>
        <w:t xml:space="preserve"> Tratado (JO 2003, L 1, p. 1, a seguir «regulamento»).</w:t>
      </w:r>
    </w:p>
    <w:p w:rsidR="006A2DA9" w:rsidRPr="006A2DA9" w:rsidRDefault="006A2DA9" w:rsidP="006A2DA9">
      <w:pPr>
        <w:pStyle w:val="c01pointnumerotealtn"/>
        <w:spacing w:line="276" w:lineRule="auto"/>
        <w:rPr>
          <w:rFonts w:ascii="Arial" w:hAnsi="Arial" w:cs="Arial"/>
          <w:sz w:val="22"/>
          <w:szCs w:val="22"/>
        </w:rPr>
      </w:pPr>
      <w:bookmarkStart w:id="2" w:name="point2"/>
      <w:r w:rsidRPr="006A2DA9">
        <w:rPr>
          <w:rFonts w:ascii="Arial" w:hAnsi="Arial" w:cs="Arial"/>
          <w:sz w:val="22"/>
          <w:szCs w:val="22"/>
        </w:rPr>
        <w:t>2</w:t>
      </w:r>
      <w:bookmarkEnd w:id="2"/>
      <w:r w:rsidRPr="006A2DA9">
        <w:rPr>
          <w:rFonts w:ascii="Arial" w:hAnsi="Arial" w:cs="Arial"/>
          <w:sz w:val="22"/>
          <w:szCs w:val="22"/>
        </w:rPr>
        <w:t xml:space="preserve"> Este pedido foi apresentado no âmbito de um litígio que opõe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i </w:t>
      </w:r>
      <w:proofErr w:type="spellStart"/>
      <w:r w:rsidRPr="006A2DA9">
        <w:rPr>
          <w:rFonts w:ascii="Arial" w:hAnsi="Arial" w:cs="Arial"/>
          <w:sz w:val="22"/>
          <w:szCs w:val="22"/>
        </w:rPr>
        <w:t>Konsumentów</w:t>
      </w:r>
      <w:proofErr w:type="spellEnd"/>
      <w:r w:rsidRPr="006A2DA9">
        <w:rPr>
          <w:rFonts w:ascii="Arial" w:hAnsi="Arial" w:cs="Arial"/>
          <w:sz w:val="22"/>
          <w:szCs w:val="22"/>
        </w:rPr>
        <w:t xml:space="preserve"> (presidente da Autoridade da Concorrência e da </w:t>
      </w:r>
      <w:proofErr w:type="spellStart"/>
      <w:r w:rsidRPr="006A2DA9">
        <w:rPr>
          <w:rFonts w:ascii="Arial" w:hAnsi="Arial" w:cs="Arial"/>
          <w:sz w:val="22"/>
          <w:szCs w:val="22"/>
        </w:rPr>
        <w:t>Protecção</w:t>
      </w:r>
      <w:proofErr w:type="spellEnd"/>
      <w:r w:rsidRPr="006A2DA9">
        <w:rPr>
          <w:rFonts w:ascii="Arial" w:hAnsi="Arial" w:cs="Arial"/>
          <w:sz w:val="22"/>
          <w:szCs w:val="22"/>
        </w:rPr>
        <w:t xml:space="preserve"> dos Consumidores, a seguir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à Tele2 </w:t>
      </w:r>
      <w:proofErr w:type="spellStart"/>
      <w:r w:rsidRPr="006A2DA9">
        <w:rPr>
          <w:rFonts w:ascii="Arial" w:hAnsi="Arial" w:cs="Arial"/>
          <w:sz w:val="22"/>
          <w:szCs w:val="22"/>
        </w:rPr>
        <w:t>Polska</w:t>
      </w:r>
      <w:proofErr w:type="spellEnd"/>
      <w:r w:rsidRPr="006A2DA9">
        <w:rPr>
          <w:rFonts w:ascii="Arial" w:hAnsi="Arial" w:cs="Arial"/>
          <w:sz w:val="22"/>
          <w:szCs w:val="22"/>
        </w:rPr>
        <w:t xml:space="preserve"> </w:t>
      </w:r>
      <w:proofErr w:type="spellStart"/>
      <w:r w:rsidRPr="006A2DA9">
        <w:rPr>
          <w:rFonts w:ascii="Arial" w:hAnsi="Arial" w:cs="Arial"/>
          <w:sz w:val="22"/>
          <w:szCs w:val="22"/>
        </w:rPr>
        <w:t>sp</w:t>
      </w:r>
      <w:proofErr w:type="spellEnd"/>
      <w:r w:rsidRPr="006A2DA9">
        <w:rPr>
          <w:rFonts w:ascii="Arial" w:hAnsi="Arial" w:cs="Arial"/>
          <w:sz w:val="22"/>
          <w:szCs w:val="22"/>
        </w:rPr>
        <w:t xml:space="preserve">. </w:t>
      </w:r>
      <w:proofErr w:type="gramStart"/>
      <w:r w:rsidRPr="006A2DA9">
        <w:rPr>
          <w:rFonts w:ascii="Arial" w:hAnsi="Arial" w:cs="Arial"/>
          <w:sz w:val="22"/>
          <w:szCs w:val="22"/>
        </w:rPr>
        <w:t>z</w:t>
      </w:r>
      <w:proofErr w:type="gramEnd"/>
      <w:r w:rsidRPr="006A2DA9">
        <w:rPr>
          <w:rFonts w:ascii="Arial" w:hAnsi="Arial" w:cs="Arial"/>
          <w:sz w:val="22"/>
          <w:szCs w:val="22"/>
        </w:rPr>
        <w:t xml:space="preserve"> </w:t>
      </w:r>
      <w:proofErr w:type="spellStart"/>
      <w:r w:rsidRPr="006A2DA9">
        <w:rPr>
          <w:rFonts w:ascii="Arial" w:hAnsi="Arial" w:cs="Arial"/>
          <w:sz w:val="22"/>
          <w:szCs w:val="22"/>
        </w:rPr>
        <w:t>o.o</w:t>
      </w:r>
      <w:proofErr w:type="spellEnd"/>
      <w:r w:rsidRPr="006A2DA9">
        <w:rPr>
          <w:rFonts w:ascii="Arial" w:hAnsi="Arial" w:cs="Arial"/>
          <w:sz w:val="22"/>
          <w:szCs w:val="22"/>
        </w:rPr>
        <w:t xml:space="preserve">., </w:t>
      </w:r>
      <w:proofErr w:type="spellStart"/>
      <w:r w:rsidRPr="006A2DA9">
        <w:rPr>
          <w:rFonts w:ascii="Arial" w:hAnsi="Arial" w:cs="Arial"/>
          <w:sz w:val="22"/>
          <w:szCs w:val="22"/>
        </w:rPr>
        <w:t>actualmente</w:t>
      </w:r>
      <w:proofErr w:type="spellEnd"/>
      <w:r w:rsidRPr="006A2DA9">
        <w:rPr>
          <w:rFonts w:ascii="Arial" w:hAnsi="Arial" w:cs="Arial"/>
          <w:sz w:val="22"/>
          <w:szCs w:val="22"/>
        </w:rPr>
        <w:t xml:space="preserve"> </w:t>
      </w:r>
      <w:proofErr w:type="spellStart"/>
      <w:r w:rsidRPr="006A2DA9">
        <w:rPr>
          <w:rFonts w:ascii="Arial" w:hAnsi="Arial" w:cs="Arial"/>
          <w:sz w:val="22"/>
          <w:szCs w:val="22"/>
        </w:rPr>
        <w:t>Netia</w:t>
      </w:r>
      <w:proofErr w:type="spellEnd"/>
      <w:r w:rsidRPr="006A2DA9">
        <w:rPr>
          <w:rFonts w:ascii="Arial" w:hAnsi="Arial" w:cs="Arial"/>
          <w:sz w:val="22"/>
          <w:szCs w:val="22"/>
        </w:rPr>
        <w:t xml:space="preserve"> SA, a respeito de uma decisão tomada pelo referido presidente nos termos do artigo 82.° CE.</w:t>
      </w:r>
    </w:p>
    <w:p w:rsidR="006A2DA9" w:rsidRPr="006A2DA9" w:rsidRDefault="006A2DA9" w:rsidP="006A2DA9">
      <w:pPr>
        <w:pStyle w:val="c04titre1"/>
        <w:spacing w:line="276" w:lineRule="auto"/>
        <w:rPr>
          <w:rFonts w:ascii="Arial" w:hAnsi="Arial" w:cs="Arial"/>
          <w:sz w:val="22"/>
          <w:szCs w:val="22"/>
        </w:rPr>
      </w:pPr>
      <w:r w:rsidRPr="006A2DA9">
        <w:rPr>
          <w:rFonts w:ascii="Arial" w:hAnsi="Arial" w:cs="Arial"/>
          <w:sz w:val="22"/>
          <w:szCs w:val="22"/>
        </w:rPr>
        <w:t>Quadro jurídico</w:t>
      </w:r>
    </w:p>
    <w:p w:rsidR="006A2DA9" w:rsidRPr="006A2DA9" w:rsidRDefault="006A2DA9" w:rsidP="006A2DA9">
      <w:pPr>
        <w:pStyle w:val="c05titre2"/>
        <w:spacing w:line="276" w:lineRule="auto"/>
        <w:rPr>
          <w:rFonts w:ascii="Arial" w:hAnsi="Arial" w:cs="Arial"/>
          <w:sz w:val="22"/>
          <w:szCs w:val="22"/>
        </w:rPr>
      </w:pPr>
      <w:r w:rsidRPr="006A2DA9">
        <w:rPr>
          <w:rFonts w:ascii="Arial" w:hAnsi="Arial" w:cs="Arial"/>
          <w:sz w:val="22"/>
          <w:szCs w:val="22"/>
        </w:rPr>
        <w:t>Regulamentação da União</w:t>
      </w:r>
    </w:p>
    <w:p w:rsidR="006A2DA9" w:rsidRPr="006A2DA9" w:rsidRDefault="006A2DA9" w:rsidP="006A2DA9">
      <w:pPr>
        <w:pStyle w:val="c01pointnumerotealtn"/>
        <w:spacing w:line="276" w:lineRule="auto"/>
        <w:rPr>
          <w:rFonts w:ascii="Arial" w:hAnsi="Arial" w:cs="Arial"/>
          <w:sz w:val="22"/>
          <w:szCs w:val="22"/>
        </w:rPr>
      </w:pPr>
      <w:bookmarkStart w:id="3" w:name="point3"/>
      <w:r w:rsidRPr="006A2DA9">
        <w:rPr>
          <w:rFonts w:ascii="Arial" w:hAnsi="Arial" w:cs="Arial"/>
          <w:sz w:val="22"/>
          <w:szCs w:val="22"/>
        </w:rPr>
        <w:t>3</w:t>
      </w:r>
      <w:bookmarkEnd w:id="3"/>
      <w:r w:rsidRPr="006A2DA9">
        <w:rPr>
          <w:rFonts w:ascii="Arial" w:hAnsi="Arial" w:cs="Arial"/>
          <w:sz w:val="22"/>
          <w:szCs w:val="22"/>
        </w:rPr>
        <w:t xml:space="preserve"> A primeira frase do primeiro considerando do regulamento prevê:</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«A fim de estabelecer um regime que assegure a não distorção da concorrência no mercado comum, há que proceder à aplicação eficaz e uniforme dos artigos 81.° [CE] e 82.° [CE] na Comunidade.»</w:t>
      </w:r>
    </w:p>
    <w:p w:rsidR="006A2DA9" w:rsidRPr="006A2DA9" w:rsidRDefault="006A2DA9" w:rsidP="006A2DA9">
      <w:pPr>
        <w:pStyle w:val="c01pointnumerotealtn"/>
        <w:spacing w:line="276" w:lineRule="auto"/>
        <w:rPr>
          <w:rFonts w:ascii="Arial" w:hAnsi="Arial" w:cs="Arial"/>
          <w:sz w:val="22"/>
          <w:szCs w:val="22"/>
        </w:rPr>
      </w:pPr>
      <w:bookmarkStart w:id="4" w:name="point4"/>
      <w:r w:rsidRPr="006A2DA9">
        <w:rPr>
          <w:rFonts w:ascii="Arial" w:hAnsi="Arial" w:cs="Arial"/>
          <w:sz w:val="22"/>
          <w:szCs w:val="22"/>
        </w:rPr>
        <w:t>4</w:t>
      </w:r>
      <w:bookmarkEnd w:id="4"/>
      <w:r w:rsidRPr="006A2DA9">
        <w:rPr>
          <w:rFonts w:ascii="Arial" w:hAnsi="Arial" w:cs="Arial"/>
          <w:sz w:val="22"/>
          <w:szCs w:val="22"/>
        </w:rPr>
        <w:t xml:space="preserve"> A primeira frase do oitavo considerando do regulamento enuncia:</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«A fim de assegurar uma aplicação eficaz das regras comunitárias de concorrência e o funcionamento adequado dos mecanismos de cooperação constantes do presente regulamento, é necessário impor às autoridades responsáveis em matéria de concorrência e aos tribunais dos Estados</w:t>
      </w:r>
      <w:r w:rsidRPr="006A2DA9">
        <w:rPr>
          <w:rFonts w:ascii="Arial" w:hAnsi="Arial" w:cs="Arial"/>
          <w:sz w:val="22"/>
          <w:szCs w:val="22"/>
        </w:rPr>
        <w:noBreakHyphen/>
        <w:t xml:space="preserve">Membros que apliquem igualmente os artigos 81.° [CE] e 82.° [CE], nos casos em que apliquem a legislação nacional em matéria de concorrência a acordos e práticas que possam </w:t>
      </w:r>
      <w:proofErr w:type="spellStart"/>
      <w:r w:rsidRPr="006A2DA9">
        <w:rPr>
          <w:rFonts w:ascii="Arial" w:hAnsi="Arial" w:cs="Arial"/>
          <w:sz w:val="22"/>
          <w:szCs w:val="22"/>
        </w:rPr>
        <w:t>afectar</w:t>
      </w:r>
      <w:proofErr w:type="spellEnd"/>
      <w:r w:rsidRPr="006A2DA9">
        <w:rPr>
          <w:rFonts w:ascii="Arial" w:hAnsi="Arial" w:cs="Arial"/>
          <w:sz w:val="22"/>
          <w:szCs w:val="22"/>
        </w:rPr>
        <w:t xml:space="preserve"> o comércio entre os Estados</w:t>
      </w:r>
      <w:r w:rsidRPr="006A2DA9">
        <w:rPr>
          <w:rFonts w:ascii="Arial" w:hAnsi="Arial" w:cs="Arial"/>
          <w:sz w:val="22"/>
          <w:szCs w:val="22"/>
        </w:rPr>
        <w:noBreakHyphen/>
        <w:t>Membros.»</w:t>
      </w:r>
    </w:p>
    <w:p w:rsidR="006A2DA9" w:rsidRPr="006A2DA9" w:rsidRDefault="006A2DA9" w:rsidP="006A2DA9">
      <w:pPr>
        <w:pStyle w:val="c01pointnumerotealtn"/>
        <w:spacing w:line="276" w:lineRule="auto"/>
        <w:rPr>
          <w:rFonts w:ascii="Arial" w:hAnsi="Arial" w:cs="Arial"/>
          <w:sz w:val="22"/>
          <w:szCs w:val="22"/>
        </w:rPr>
      </w:pPr>
      <w:bookmarkStart w:id="5" w:name="point5"/>
      <w:r w:rsidRPr="006A2DA9">
        <w:rPr>
          <w:rFonts w:ascii="Arial" w:hAnsi="Arial" w:cs="Arial"/>
          <w:sz w:val="22"/>
          <w:szCs w:val="22"/>
        </w:rPr>
        <w:t>5</w:t>
      </w:r>
      <w:bookmarkEnd w:id="5"/>
      <w:r w:rsidRPr="006A2DA9">
        <w:rPr>
          <w:rFonts w:ascii="Arial" w:hAnsi="Arial" w:cs="Arial"/>
          <w:sz w:val="22"/>
          <w:szCs w:val="22"/>
        </w:rPr>
        <w:t xml:space="preserve"> Nos termos do décimo quarto considerando do regulamento:</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 xml:space="preserve">«Em casos </w:t>
      </w:r>
      <w:proofErr w:type="spellStart"/>
      <w:r w:rsidRPr="006A2DA9">
        <w:rPr>
          <w:rFonts w:ascii="Arial" w:hAnsi="Arial" w:cs="Arial"/>
          <w:sz w:val="22"/>
          <w:szCs w:val="22"/>
        </w:rPr>
        <w:t>excepcionais</w:t>
      </w:r>
      <w:proofErr w:type="spellEnd"/>
      <w:r w:rsidRPr="006A2DA9">
        <w:rPr>
          <w:rFonts w:ascii="Arial" w:hAnsi="Arial" w:cs="Arial"/>
          <w:sz w:val="22"/>
          <w:szCs w:val="22"/>
        </w:rPr>
        <w:t>, quando o interesse público comunitário o exija, poderá também ser útil que a Comissão aprove uma decisão de carácter declaratório em que constate a não aplicação da proibição estabelecida pelos artigos 81.° [CE] ou 82.° [CE], a fim de clarificar a legislação e assegurar a sua aplicação coerente na Comunidade, especialmente no que se refere a novos tipos de acordos ou práticas que não estejam consagrados na jurisprudência existente, nem na prática administrativa.»</w:t>
      </w:r>
    </w:p>
    <w:p w:rsidR="006A2DA9" w:rsidRPr="006A2DA9" w:rsidRDefault="006A2DA9" w:rsidP="006A2DA9">
      <w:pPr>
        <w:pStyle w:val="c01pointnumerotealtn"/>
        <w:spacing w:line="276" w:lineRule="auto"/>
        <w:rPr>
          <w:rFonts w:ascii="Arial" w:hAnsi="Arial" w:cs="Arial"/>
          <w:sz w:val="22"/>
          <w:szCs w:val="22"/>
        </w:rPr>
      </w:pPr>
      <w:bookmarkStart w:id="6" w:name="point6"/>
      <w:r w:rsidRPr="006A2DA9">
        <w:rPr>
          <w:rFonts w:ascii="Arial" w:hAnsi="Arial" w:cs="Arial"/>
          <w:sz w:val="22"/>
          <w:szCs w:val="22"/>
        </w:rPr>
        <w:lastRenderedPageBreak/>
        <w:t>6</w:t>
      </w:r>
      <w:bookmarkEnd w:id="6"/>
      <w:r w:rsidRPr="006A2DA9">
        <w:rPr>
          <w:rFonts w:ascii="Arial" w:hAnsi="Arial" w:cs="Arial"/>
          <w:sz w:val="22"/>
          <w:szCs w:val="22"/>
        </w:rPr>
        <w:t xml:space="preserve"> O artigo 3.°, </w:t>
      </w:r>
      <w:proofErr w:type="spellStart"/>
      <w:proofErr w:type="gramStart"/>
      <w:r w:rsidRPr="006A2DA9">
        <w:rPr>
          <w:rFonts w:ascii="Arial" w:hAnsi="Arial" w:cs="Arial"/>
          <w:sz w:val="22"/>
          <w:szCs w:val="22"/>
        </w:rPr>
        <w:t>n</w:t>
      </w:r>
      <w:proofErr w:type="gramEnd"/>
      <w:r w:rsidRPr="006A2DA9">
        <w:rPr>
          <w:rFonts w:ascii="Arial" w:hAnsi="Arial" w:cs="Arial"/>
          <w:sz w:val="22"/>
          <w:szCs w:val="22"/>
        </w:rPr>
        <w:t>.°</w:t>
      </w:r>
      <w:proofErr w:type="spellEnd"/>
      <w:r w:rsidRPr="006A2DA9">
        <w:rPr>
          <w:rFonts w:ascii="Arial" w:hAnsi="Arial" w:cs="Arial"/>
          <w:sz w:val="22"/>
          <w:szCs w:val="22"/>
        </w:rPr>
        <w:t xml:space="preserve"> 1, do regulamento dispõe:</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«Sempre que as autoridades dos Estados</w:t>
      </w:r>
      <w:r w:rsidRPr="006A2DA9">
        <w:rPr>
          <w:rFonts w:ascii="Arial" w:hAnsi="Arial" w:cs="Arial"/>
          <w:sz w:val="22"/>
          <w:szCs w:val="22"/>
        </w:rPr>
        <w:noBreakHyphen/>
        <w:t xml:space="preserve">Membros </w:t>
      </w:r>
      <w:proofErr w:type="gramStart"/>
      <w:r w:rsidRPr="006A2DA9">
        <w:rPr>
          <w:rFonts w:ascii="Arial" w:hAnsi="Arial" w:cs="Arial"/>
          <w:sz w:val="22"/>
          <w:szCs w:val="22"/>
        </w:rPr>
        <w:t>responsáveis</w:t>
      </w:r>
      <w:proofErr w:type="gramEnd"/>
      <w:r w:rsidRPr="006A2DA9">
        <w:rPr>
          <w:rFonts w:ascii="Arial" w:hAnsi="Arial" w:cs="Arial"/>
          <w:sz w:val="22"/>
          <w:szCs w:val="22"/>
        </w:rPr>
        <w:t xml:space="preserve"> em matéria de concorrência ou os tribunais nacionais apliquem a legislação nacional em matéria de concorrência a acordos, decisões de associação ou práticas concertadas na </w:t>
      </w:r>
      <w:proofErr w:type="spellStart"/>
      <w:r w:rsidRPr="006A2DA9">
        <w:rPr>
          <w:rFonts w:ascii="Arial" w:hAnsi="Arial" w:cs="Arial"/>
          <w:sz w:val="22"/>
          <w:szCs w:val="22"/>
        </w:rPr>
        <w:t>acepção</w:t>
      </w:r>
      <w:proofErr w:type="spellEnd"/>
      <w:r w:rsidRPr="006A2DA9">
        <w:rPr>
          <w:rFonts w:ascii="Arial" w:hAnsi="Arial" w:cs="Arial"/>
          <w:sz w:val="22"/>
          <w:szCs w:val="22"/>
        </w:rPr>
        <w:t xml:space="preserve"> do </w:t>
      </w:r>
      <w:proofErr w:type="spellStart"/>
      <w:r w:rsidRPr="006A2DA9">
        <w:rPr>
          <w:rFonts w:ascii="Arial" w:hAnsi="Arial" w:cs="Arial"/>
          <w:sz w:val="22"/>
          <w:szCs w:val="22"/>
        </w:rPr>
        <w:t>n.°</w:t>
      </w:r>
      <w:proofErr w:type="spellEnd"/>
      <w:r w:rsidRPr="006A2DA9">
        <w:rPr>
          <w:rFonts w:ascii="Arial" w:hAnsi="Arial" w:cs="Arial"/>
          <w:sz w:val="22"/>
          <w:szCs w:val="22"/>
        </w:rPr>
        <w:t xml:space="preserve"> 1 </w:t>
      </w:r>
      <w:proofErr w:type="gramStart"/>
      <w:r w:rsidRPr="006A2DA9">
        <w:rPr>
          <w:rFonts w:ascii="Arial" w:hAnsi="Arial" w:cs="Arial"/>
          <w:sz w:val="22"/>
          <w:szCs w:val="22"/>
        </w:rPr>
        <w:t>do</w:t>
      </w:r>
      <w:proofErr w:type="gramEnd"/>
      <w:r w:rsidRPr="006A2DA9">
        <w:rPr>
          <w:rFonts w:ascii="Arial" w:hAnsi="Arial" w:cs="Arial"/>
          <w:sz w:val="22"/>
          <w:szCs w:val="22"/>
        </w:rPr>
        <w:t xml:space="preserve"> artigo 81.° [CE], </w:t>
      </w:r>
      <w:proofErr w:type="spellStart"/>
      <w:r w:rsidRPr="006A2DA9">
        <w:rPr>
          <w:rFonts w:ascii="Arial" w:hAnsi="Arial" w:cs="Arial"/>
          <w:sz w:val="22"/>
          <w:szCs w:val="22"/>
        </w:rPr>
        <w:t>susceptíveis</w:t>
      </w:r>
      <w:proofErr w:type="spellEnd"/>
      <w:r w:rsidRPr="006A2DA9">
        <w:rPr>
          <w:rFonts w:ascii="Arial" w:hAnsi="Arial" w:cs="Arial"/>
          <w:sz w:val="22"/>
          <w:szCs w:val="22"/>
        </w:rPr>
        <w:t xml:space="preserve"> de </w:t>
      </w:r>
      <w:proofErr w:type="spellStart"/>
      <w:r w:rsidRPr="006A2DA9">
        <w:rPr>
          <w:rFonts w:ascii="Arial" w:hAnsi="Arial" w:cs="Arial"/>
          <w:sz w:val="22"/>
          <w:szCs w:val="22"/>
        </w:rPr>
        <w:t>afectar</w:t>
      </w:r>
      <w:proofErr w:type="spellEnd"/>
      <w:r w:rsidRPr="006A2DA9">
        <w:rPr>
          <w:rFonts w:ascii="Arial" w:hAnsi="Arial" w:cs="Arial"/>
          <w:sz w:val="22"/>
          <w:szCs w:val="22"/>
        </w:rPr>
        <w:t xml:space="preserve"> o comércio entre os Estados</w:t>
      </w:r>
      <w:r w:rsidRPr="006A2DA9">
        <w:rPr>
          <w:rFonts w:ascii="Arial" w:hAnsi="Arial" w:cs="Arial"/>
          <w:sz w:val="22"/>
          <w:szCs w:val="22"/>
        </w:rPr>
        <w:noBreakHyphen/>
        <w:t xml:space="preserve">Membros, na </w:t>
      </w:r>
      <w:proofErr w:type="spellStart"/>
      <w:r w:rsidRPr="006A2DA9">
        <w:rPr>
          <w:rFonts w:ascii="Arial" w:hAnsi="Arial" w:cs="Arial"/>
          <w:sz w:val="22"/>
          <w:szCs w:val="22"/>
        </w:rPr>
        <w:t>acepção</w:t>
      </w:r>
      <w:proofErr w:type="spellEnd"/>
      <w:r w:rsidRPr="006A2DA9">
        <w:rPr>
          <w:rFonts w:ascii="Arial" w:hAnsi="Arial" w:cs="Arial"/>
          <w:sz w:val="22"/>
          <w:szCs w:val="22"/>
        </w:rPr>
        <w:t xml:space="preserve"> desta disposição, devem aplicar igualmente o artigo 81.° [CE] </w:t>
      </w:r>
      <w:proofErr w:type="gramStart"/>
      <w:r w:rsidRPr="006A2DA9">
        <w:rPr>
          <w:rFonts w:ascii="Arial" w:hAnsi="Arial" w:cs="Arial"/>
          <w:sz w:val="22"/>
          <w:szCs w:val="22"/>
        </w:rPr>
        <w:t>a tais acordos</w:t>
      </w:r>
      <w:proofErr w:type="gramEnd"/>
      <w:r w:rsidRPr="006A2DA9">
        <w:rPr>
          <w:rFonts w:ascii="Arial" w:hAnsi="Arial" w:cs="Arial"/>
          <w:sz w:val="22"/>
          <w:szCs w:val="22"/>
        </w:rPr>
        <w:t>, decisões ou práticas concertadas. Sempre que as autoridades dos Estados</w:t>
      </w:r>
      <w:r w:rsidRPr="006A2DA9">
        <w:rPr>
          <w:rFonts w:ascii="Arial" w:hAnsi="Arial" w:cs="Arial"/>
          <w:sz w:val="22"/>
          <w:szCs w:val="22"/>
        </w:rPr>
        <w:noBreakHyphen/>
        <w:t xml:space="preserve">Membros </w:t>
      </w:r>
      <w:proofErr w:type="gramStart"/>
      <w:r w:rsidRPr="006A2DA9">
        <w:rPr>
          <w:rFonts w:ascii="Arial" w:hAnsi="Arial" w:cs="Arial"/>
          <w:sz w:val="22"/>
          <w:szCs w:val="22"/>
        </w:rPr>
        <w:t>responsáveis</w:t>
      </w:r>
      <w:proofErr w:type="gramEnd"/>
      <w:r w:rsidRPr="006A2DA9">
        <w:rPr>
          <w:rFonts w:ascii="Arial" w:hAnsi="Arial" w:cs="Arial"/>
          <w:sz w:val="22"/>
          <w:szCs w:val="22"/>
        </w:rPr>
        <w:t xml:space="preserve"> em matéria de concorrência ou os tribunais nacionais apliquem a legislação nacional em matéria de concorrência a qualquer abuso proibido pelo artigo 82.° [CE], devem aplicar igualmente o artigo 82.° [CE].»</w:t>
      </w:r>
    </w:p>
    <w:p w:rsidR="006A2DA9" w:rsidRPr="006A2DA9" w:rsidRDefault="006A2DA9" w:rsidP="006A2DA9">
      <w:pPr>
        <w:pStyle w:val="c01pointnumerotealtn"/>
        <w:spacing w:line="276" w:lineRule="auto"/>
        <w:rPr>
          <w:rFonts w:ascii="Arial" w:hAnsi="Arial" w:cs="Arial"/>
          <w:sz w:val="22"/>
          <w:szCs w:val="22"/>
        </w:rPr>
      </w:pPr>
      <w:bookmarkStart w:id="7" w:name="point7"/>
      <w:r w:rsidRPr="006A2DA9">
        <w:rPr>
          <w:rFonts w:ascii="Arial" w:hAnsi="Arial" w:cs="Arial"/>
          <w:sz w:val="22"/>
          <w:szCs w:val="22"/>
        </w:rPr>
        <w:t>7</w:t>
      </w:r>
      <w:bookmarkEnd w:id="7"/>
      <w:r w:rsidRPr="006A2DA9">
        <w:rPr>
          <w:rFonts w:ascii="Arial" w:hAnsi="Arial" w:cs="Arial"/>
          <w:sz w:val="22"/>
          <w:szCs w:val="22"/>
        </w:rPr>
        <w:t xml:space="preserve">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sob a epígrafe «Competência das autoridades dos Estados</w:t>
      </w:r>
      <w:r w:rsidRPr="006A2DA9">
        <w:rPr>
          <w:rFonts w:ascii="Arial" w:hAnsi="Arial" w:cs="Arial"/>
          <w:sz w:val="22"/>
          <w:szCs w:val="22"/>
        </w:rPr>
        <w:noBreakHyphen/>
        <w:t>Membros responsáveis em matéria de concorrência», estabelece:</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«As autoridades dos Estados</w:t>
      </w:r>
      <w:r w:rsidRPr="006A2DA9">
        <w:rPr>
          <w:rFonts w:ascii="Arial" w:hAnsi="Arial" w:cs="Arial"/>
          <w:sz w:val="22"/>
          <w:szCs w:val="22"/>
        </w:rPr>
        <w:noBreakHyphen/>
        <w:t xml:space="preserve">Membros responsáveis em matéria de concorrência têm competência para aplicar, em processos individuais, os artigos 81.° [CE] e 82.° [CE]. Para o efeito, podem, </w:t>
      </w:r>
      <w:proofErr w:type="spellStart"/>
      <w:r w:rsidRPr="006A2DA9">
        <w:rPr>
          <w:rFonts w:ascii="Arial" w:hAnsi="Arial" w:cs="Arial"/>
          <w:sz w:val="22"/>
          <w:szCs w:val="22"/>
        </w:rPr>
        <w:t>actuando</w:t>
      </w:r>
      <w:proofErr w:type="spellEnd"/>
      <w:r w:rsidRPr="006A2DA9">
        <w:rPr>
          <w:rFonts w:ascii="Arial" w:hAnsi="Arial" w:cs="Arial"/>
          <w:sz w:val="22"/>
          <w:szCs w:val="22"/>
        </w:rPr>
        <w:t xml:space="preserve"> oficiosamente ou na sequência de denúncia, tomar as seguintes decisões: </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exigir</w:t>
      </w:r>
      <w:proofErr w:type="gramEnd"/>
      <w:r w:rsidRPr="006A2DA9">
        <w:rPr>
          <w:rFonts w:ascii="Arial" w:hAnsi="Arial" w:cs="Arial"/>
          <w:sz w:val="22"/>
          <w:szCs w:val="22"/>
        </w:rPr>
        <w:t xml:space="preserve"> que seja posto termo à </w:t>
      </w:r>
      <w:proofErr w:type="spellStart"/>
      <w:r w:rsidRPr="006A2DA9">
        <w:rPr>
          <w:rFonts w:ascii="Arial" w:hAnsi="Arial" w:cs="Arial"/>
          <w:sz w:val="22"/>
          <w:szCs w:val="22"/>
        </w:rPr>
        <w:t>infracção</w:t>
      </w:r>
      <w:proofErr w:type="spellEnd"/>
      <w:r w:rsidRPr="006A2DA9">
        <w:rPr>
          <w:rFonts w:ascii="Arial" w:hAnsi="Arial" w:cs="Arial"/>
          <w:sz w:val="22"/>
          <w:szCs w:val="22"/>
        </w:rPr>
        <w:t>,</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ordenar</w:t>
      </w:r>
      <w:proofErr w:type="gramEnd"/>
      <w:r w:rsidRPr="006A2DA9">
        <w:rPr>
          <w:rFonts w:ascii="Arial" w:hAnsi="Arial" w:cs="Arial"/>
          <w:sz w:val="22"/>
          <w:szCs w:val="22"/>
        </w:rPr>
        <w:t xml:space="preserve"> medidas provisórias,</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aceitar</w:t>
      </w:r>
      <w:proofErr w:type="gramEnd"/>
      <w:r w:rsidRPr="006A2DA9">
        <w:rPr>
          <w:rFonts w:ascii="Arial" w:hAnsi="Arial" w:cs="Arial"/>
          <w:sz w:val="22"/>
          <w:szCs w:val="22"/>
        </w:rPr>
        <w:t xml:space="preserve"> compromissos,</w:t>
      </w:r>
    </w:p>
    <w:p w:rsidR="006A2DA9" w:rsidRPr="006A2DA9" w:rsidRDefault="006A2DA9" w:rsidP="006A2DA9">
      <w:pPr>
        <w:pStyle w:val="c03tiretlong"/>
        <w:spacing w:line="276" w:lineRule="auto"/>
        <w:rPr>
          <w:rFonts w:ascii="Arial" w:hAnsi="Arial" w:cs="Arial"/>
          <w:sz w:val="22"/>
          <w:szCs w:val="22"/>
        </w:rPr>
      </w:pPr>
      <w:r w:rsidRPr="006A2DA9">
        <w:rPr>
          <w:rFonts w:ascii="Arial" w:hAnsi="Arial" w:cs="Arial"/>
          <w:sz w:val="22"/>
          <w:szCs w:val="22"/>
        </w:rPr>
        <w:t xml:space="preserve">– </w:t>
      </w:r>
      <w:proofErr w:type="gramStart"/>
      <w:r w:rsidRPr="006A2DA9">
        <w:rPr>
          <w:rFonts w:ascii="Arial" w:hAnsi="Arial" w:cs="Arial"/>
          <w:sz w:val="22"/>
          <w:szCs w:val="22"/>
        </w:rPr>
        <w:t>aplicar</w:t>
      </w:r>
      <w:proofErr w:type="gramEnd"/>
      <w:r w:rsidRPr="006A2DA9">
        <w:rPr>
          <w:rFonts w:ascii="Arial" w:hAnsi="Arial" w:cs="Arial"/>
          <w:sz w:val="22"/>
          <w:szCs w:val="22"/>
        </w:rPr>
        <w:t xml:space="preserve"> coimas, sanções pecuniárias compulsórias ou qualquer outra sanção prevista pelo </w:t>
      </w:r>
      <w:proofErr w:type="spellStart"/>
      <w:r w:rsidRPr="006A2DA9">
        <w:rPr>
          <w:rFonts w:ascii="Arial" w:hAnsi="Arial" w:cs="Arial"/>
          <w:sz w:val="22"/>
          <w:szCs w:val="22"/>
        </w:rPr>
        <w:t>respectivo</w:t>
      </w:r>
      <w:proofErr w:type="spellEnd"/>
      <w:r w:rsidRPr="006A2DA9">
        <w:rPr>
          <w:rFonts w:ascii="Arial" w:hAnsi="Arial" w:cs="Arial"/>
          <w:sz w:val="22"/>
          <w:szCs w:val="22"/>
        </w:rPr>
        <w:t xml:space="preserve"> direito nacional.</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Sempre que, com base nas informações de que dispõem, não estejam preenchidas as condições de proibição, podem igualmente decidir que não se justifica a sua intervenção.»</w:t>
      </w:r>
    </w:p>
    <w:p w:rsidR="006A2DA9" w:rsidRPr="006A2DA9" w:rsidRDefault="006A2DA9" w:rsidP="006A2DA9">
      <w:pPr>
        <w:pStyle w:val="c01pointnumerotealtn"/>
        <w:spacing w:line="276" w:lineRule="auto"/>
        <w:rPr>
          <w:rFonts w:ascii="Arial" w:hAnsi="Arial" w:cs="Arial"/>
          <w:sz w:val="22"/>
          <w:szCs w:val="22"/>
        </w:rPr>
      </w:pPr>
      <w:bookmarkStart w:id="8" w:name="point8"/>
      <w:r w:rsidRPr="006A2DA9">
        <w:rPr>
          <w:rFonts w:ascii="Arial" w:hAnsi="Arial" w:cs="Arial"/>
          <w:sz w:val="22"/>
          <w:szCs w:val="22"/>
        </w:rPr>
        <w:t>8</w:t>
      </w:r>
      <w:bookmarkEnd w:id="8"/>
      <w:r w:rsidRPr="006A2DA9">
        <w:rPr>
          <w:rFonts w:ascii="Arial" w:hAnsi="Arial" w:cs="Arial"/>
          <w:sz w:val="22"/>
          <w:szCs w:val="22"/>
        </w:rPr>
        <w:t xml:space="preserve"> Nos termos do artigo 10.°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 xml:space="preserve">«Sempre que o interesse público comunitário relacionado com a aplicação dos artigos 81.° [CE] e 82.° [CE] assim o exija, a Comissão, pode, através de decisão, declarar oficiosamente que o artigo 81.° [CE] não se aplica a um acordo, decisão de associação de empresas ou prática concertada, quer por não estarem preenchidas as condições do </w:t>
      </w:r>
      <w:proofErr w:type="spellStart"/>
      <w:r w:rsidRPr="006A2DA9">
        <w:rPr>
          <w:rFonts w:ascii="Arial" w:hAnsi="Arial" w:cs="Arial"/>
          <w:sz w:val="22"/>
          <w:szCs w:val="22"/>
        </w:rPr>
        <w:t>n.°</w:t>
      </w:r>
      <w:proofErr w:type="spellEnd"/>
      <w:r w:rsidRPr="006A2DA9">
        <w:rPr>
          <w:rFonts w:ascii="Arial" w:hAnsi="Arial" w:cs="Arial"/>
          <w:sz w:val="22"/>
          <w:szCs w:val="22"/>
        </w:rPr>
        <w:t xml:space="preserve"> 1 </w:t>
      </w:r>
      <w:proofErr w:type="gramStart"/>
      <w:r w:rsidRPr="006A2DA9">
        <w:rPr>
          <w:rFonts w:ascii="Arial" w:hAnsi="Arial" w:cs="Arial"/>
          <w:sz w:val="22"/>
          <w:szCs w:val="22"/>
        </w:rPr>
        <w:t>do</w:t>
      </w:r>
      <w:proofErr w:type="gramEnd"/>
      <w:r w:rsidRPr="006A2DA9">
        <w:rPr>
          <w:rFonts w:ascii="Arial" w:hAnsi="Arial" w:cs="Arial"/>
          <w:sz w:val="22"/>
          <w:szCs w:val="22"/>
        </w:rPr>
        <w:t xml:space="preserve"> artigo 81.° [CE] do Tratado, quer por estarem preenchidas as condições do </w:t>
      </w:r>
      <w:proofErr w:type="spellStart"/>
      <w:r w:rsidRPr="006A2DA9">
        <w:rPr>
          <w:rFonts w:ascii="Arial" w:hAnsi="Arial" w:cs="Arial"/>
          <w:sz w:val="22"/>
          <w:szCs w:val="22"/>
        </w:rPr>
        <w:t>n.°</w:t>
      </w:r>
      <w:proofErr w:type="spellEnd"/>
      <w:r w:rsidRPr="006A2DA9">
        <w:rPr>
          <w:rFonts w:ascii="Arial" w:hAnsi="Arial" w:cs="Arial"/>
          <w:sz w:val="22"/>
          <w:szCs w:val="22"/>
        </w:rPr>
        <w:t xml:space="preserve"> 3 </w:t>
      </w:r>
      <w:proofErr w:type="gramStart"/>
      <w:r w:rsidRPr="006A2DA9">
        <w:rPr>
          <w:rFonts w:ascii="Arial" w:hAnsi="Arial" w:cs="Arial"/>
          <w:sz w:val="22"/>
          <w:szCs w:val="22"/>
        </w:rPr>
        <w:t>do</w:t>
      </w:r>
      <w:proofErr w:type="gramEnd"/>
      <w:r w:rsidRPr="006A2DA9">
        <w:rPr>
          <w:rFonts w:ascii="Arial" w:hAnsi="Arial" w:cs="Arial"/>
          <w:sz w:val="22"/>
          <w:szCs w:val="22"/>
        </w:rPr>
        <w:t xml:space="preserve"> artigo 81.° [CE].</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A Comissão pode do mesmo modo fazer declaração semelhante relativamente ao artigo 82.° [CE].»</w:t>
      </w:r>
    </w:p>
    <w:p w:rsidR="006A2DA9" w:rsidRPr="006A2DA9" w:rsidRDefault="006A2DA9" w:rsidP="006A2DA9">
      <w:pPr>
        <w:pStyle w:val="c05titre2"/>
        <w:spacing w:line="276" w:lineRule="auto"/>
        <w:rPr>
          <w:rFonts w:ascii="Arial" w:hAnsi="Arial" w:cs="Arial"/>
          <w:sz w:val="22"/>
          <w:szCs w:val="22"/>
        </w:rPr>
      </w:pPr>
      <w:r w:rsidRPr="006A2DA9">
        <w:rPr>
          <w:rFonts w:ascii="Arial" w:hAnsi="Arial" w:cs="Arial"/>
          <w:sz w:val="22"/>
          <w:szCs w:val="22"/>
        </w:rPr>
        <w:t>Direito nacional</w:t>
      </w:r>
    </w:p>
    <w:p w:rsidR="006A2DA9" w:rsidRPr="006A2DA9" w:rsidRDefault="006A2DA9" w:rsidP="006A2DA9">
      <w:pPr>
        <w:pStyle w:val="c01pointnumerotealtn"/>
        <w:spacing w:line="276" w:lineRule="auto"/>
        <w:rPr>
          <w:rFonts w:ascii="Arial" w:hAnsi="Arial" w:cs="Arial"/>
          <w:sz w:val="22"/>
          <w:szCs w:val="22"/>
        </w:rPr>
      </w:pPr>
      <w:bookmarkStart w:id="9" w:name="point9"/>
      <w:r w:rsidRPr="006A2DA9">
        <w:rPr>
          <w:rFonts w:ascii="Arial" w:hAnsi="Arial" w:cs="Arial"/>
          <w:sz w:val="22"/>
          <w:szCs w:val="22"/>
        </w:rPr>
        <w:lastRenderedPageBreak/>
        <w:t>9</w:t>
      </w:r>
      <w:bookmarkEnd w:id="9"/>
      <w:r w:rsidRPr="006A2DA9">
        <w:rPr>
          <w:rFonts w:ascii="Arial" w:hAnsi="Arial" w:cs="Arial"/>
          <w:sz w:val="22"/>
          <w:szCs w:val="22"/>
        </w:rPr>
        <w:t xml:space="preserve"> O artigo 8.° </w:t>
      </w:r>
      <w:proofErr w:type="gramStart"/>
      <w:r w:rsidRPr="006A2DA9">
        <w:rPr>
          <w:rFonts w:ascii="Arial" w:hAnsi="Arial" w:cs="Arial"/>
          <w:sz w:val="22"/>
          <w:szCs w:val="22"/>
        </w:rPr>
        <w:t>da</w:t>
      </w:r>
      <w:proofErr w:type="gramEnd"/>
      <w:r w:rsidRPr="006A2DA9">
        <w:rPr>
          <w:rFonts w:ascii="Arial" w:hAnsi="Arial" w:cs="Arial"/>
          <w:sz w:val="22"/>
          <w:szCs w:val="22"/>
        </w:rPr>
        <w:t xml:space="preserve"> Lei da Concorrência e da </w:t>
      </w:r>
      <w:proofErr w:type="spellStart"/>
      <w:r w:rsidRPr="006A2DA9">
        <w:rPr>
          <w:rFonts w:ascii="Arial" w:hAnsi="Arial" w:cs="Arial"/>
          <w:sz w:val="22"/>
          <w:szCs w:val="22"/>
        </w:rPr>
        <w:t>Protecção</w:t>
      </w:r>
      <w:proofErr w:type="spellEnd"/>
      <w:r w:rsidRPr="006A2DA9">
        <w:rPr>
          <w:rFonts w:ascii="Arial" w:hAnsi="Arial" w:cs="Arial"/>
          <w:sz w:val="22"/>
          <w:szCs w:val="22"/>
        </w:rPr>
        <w:t xml:space="preserve"> dos Consumidores de 15 de Dezembro de 2000 (</w:t>
      </w:r>
      <w:proofErr w:type="spellStart"/>
      <w:r w:rsidRPr="006A2DA9">
        <w:rPr>
          <w:rFonts w:ascii="Arial" w:hAnsi="Arial" w:cs="Arial"/>
          <w:sz w:val="22"/>
          <w:szCs w:val="22"/>
        </w:rPr>
        <w:t>ustawa</w:t>
      </w:r>
      <w:proofErr w:type="spellEnd"/>
      <w:r w:rsidRPr="006A2DA9">
        <w:rPr>
          <w:rFonts w:ascii="Arial" w:hAnsi="Arial" w:cs="Arial"/>
          <w:sz w:val="22"/>
          <w:szCs w:val="22"/>
        </w:rPr>
        <w:t xml:space="preserve"> o </w:t>
      </w:r>
      <w:proofErr w:type="spellStart"/>
      <w:r w:rsidRPr="006A2DA9">
        <w:rPr>
          <w:rFonts w:ascii="Arial" w:hAnsi="Arial" w:cs="Arial"/>
          <w:sz w:val="22"/>
          <w:szCs w:val="22"/>
        </w:rPr>
        <w:t>ochronie</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i </w:t>
      </w:r>
      <w:proofErr w:type="spellStart"/>
      <w:r w:rsidRPr="006A2DA9">
        <w:rPr>
          <w:rFonts w:ascii="Arial" w:hAnsi="Arial" w:cs="Arial"/>
          <w:sz w:val="22"/>
          <w:szCs w:val="22"/>
        </w:rPr>
        <w:t>konsumentów</w:t>
      </w:r>
      <w:proofErr w:type="spellEnd"/>
      <w:r w:rsidRPr="006A2DA9">
        <w:rPr>
          <w:rFonts w:ascii="Arial" w:hAnsi="Arial" w:cs="Arial"/>
          <w:sz w:val="22"/>
          <w:szCs w:val="22"/>
        </w:rPr>
        <w:t xml:space="preserve">, </w:t>
      </w:r>
      <w:proofErr w:type="spellStart"/>
      <w:r w:rsidRPr="006A2DA9">
        <w:rPr>
          <w:rFonts w:ascii="Arial" w:hAnsi="Arial" w:cs="Arial"/>
          <w:sz w:val="22"/>
          <w:szCs w:val="22"/>
        </w:rPr>
        <w:t>Dz</w:t>
      </w:r>
      <w:proofErr w:type="spellEnd"/>
      <w:r w:rsidRPr="006A2DA9">
        <w:rPr>
          <w:rFonts w:ascii="Arial" w:hAnsi="Arial" w:cs="Arial"/>
          <w:sz w:val="22"/>
          <w:szCs w:val="22"/>
        </w:rPr>
        <w:t xml:space="preserve">. U de 2005, </w:t>
      </w:r>
      <w:proofErr w:type="spellStart"/>
      <w:r w:rsidRPr="006A2DA9">
        <w:rPr>
          <w:rFonts w:ascii="Arial" w:hAnsi="Arial" w:cs="Arial"/>
          <w:sz w:val="22"/>
          <w:szCs w:val="22"/>
        </w:rPr>
        <w:t>n.°</w:t>
      </w:r>
      <w:proofErr w:type="spellEnd"/>
      <w:r w:rsidRPr="006A2DA9">
        <w:rPr>
          <w:rFonts w:ascii="Arial" w:hAnsi="Arial" w:cs="Arial"/>
          <w:sz w:val="22"/>
          <w:szCs w:val="22"/>
        </w:rPr>
        <w:t xml:space="preserve"> 244, ponto 2080), na versão aplicável aos factos no processo principal (a seguir «lei da concorrência e da </w:t>
      </w:r>
      <w:proofErr w:type="spellStart"/>
      <w:r w:rsidRPr="006A2DA9">
        <w:rPr>
          <w:rFonts w:ascii="Arial" w:hAnsi="Arial" w:cs="Arial"/>
          <w:sz w:val="22"/>
          <w:szCs w:val="22"/>
        </w:rPr>
        <w:t>protecção</w:t>
      </w:r>
      <w:proofErr w:type="spellEnd"/>
      <w:r w:rsidRPr="006A2DA9">
        <w:rPr>
          <w:rFonts w:ascii="Arial" w:hAnsi="Arial" w:cs="Arial"/>
          <w:sz w:val="22"/>
          <w:szCs w:val="22"/>
        </w:rPr>
        <w:t xml:space="preserve"> dos consumidores»), dispõe:</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«1. É proibido o abuso de uma posição dominante no mercado em questão por uma ou mais empresas</w:t>
      </w:r>
      <w:r w:rsidRPr="006A2DA9">
        <w:rPr>
          <w:rFonts w:ascii="Arial" w:hAnsi="Arial" w:cs="Arial"/>
          <w:i/>
          <w:iCs/>
          <w:sz w:val="22"/>
          <w:szCs w:val="22"/>
        </w:rPr>
        <w:t>.</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 xml:space="preserve">3. Os </w:t>
      </w:r>
      <w:proofErr w:type="spellStart"/>
      <w:r w:rsidRPr="006A2DA9">
        <w:rPr>
          <w:rFonts w:ascii="Arial" w:hAnsi="Arial" w:cs="Arial"/>
          <w:sz w:val="22"/>
          <w:szCs w:val="22"/>
        </w:rPr>
        <w:t>actos</w:t>
      </w:r>
      <w:proofErr w:type="spellEnd"/>
      <w:r w:rsidRPr="006A2DA9">
        <w:rPr>
          <w:rFonts w:ascii="Arial" w:hAnsi="Arial" w:cs="Arial"/>
          <w:sz w:val="22"/>
          <w:szCs w:val="22"/>
        </w:rPr>
        <w:t xml:space="preserve"> constitutivos de um abuso de posição dominante são nulos na sua totalidade ou na parte relevante.»</w:t>
      </w:r>
    </w:p>
    <w:p w:rsidR="006A2DA9" w:rsidRPr="006A2DA9" w:rsidRDefault="006A2DA9" w:rsidP="006A2DA9">
      <w:pPr>
        <w:pStyle w:val="c01pointnumerotealtn"/>
        <w:spacing w:line="276" w:lineRule="auto"/>
        <w:rPr>
          <w:rFonts w:ascii="Arial" w:hAnsi="Arial" w:cs="Arial"/>
          <w:sz w:val="22"/>
          <w:szCs w:val="22"/>
        </w:rPr>
      </w:pPr>
      <w:bookmarkStart w:id="10" w:name="point10"/>
      <w:r w:rsidRPr="006A2DA9">
        <w:rPr>
          <w:rFonts w:ascii="Arial" w:hAnsi="Arial" w:cs="Arial"/>
          <w:sz w:val="22"/>
          <w:szCs w:val="22"/>
        </w:rPr>
        <w:t>10</w:t>
      </w:r>
      <w:bookmarkEnd w:id="10"/>
      <w:r w:rsidRPr="006A2DA9">
        <w:rPr>
          <w:rFonts w:ascii="Arial" w:hAnsi="Arial" w:cs="Arial"/>
          <w:sz w:val="22"/>
          <w:szCs w:val="22"/>
        </w:rPr>
        <w:t xml:space="preserve"> O artigo 11.° </w:t>
      </w:r>
      <w:proofErr w:type="gramStart"/>
      <w:r w:rsidRPr="006A2DA9">
        <w:rPr>
          <w:rFonts w:ascii="Arial" w:hAnsi="Arial" w:cs="Arial"/>
          <w:sz w:val="22"/>
          <w:szCs w:val="22"/>
        </w:rPr>
        <w:t>da</w:t>
      </w:r>
      <w:proofErr w:type="gramEnd"/>
      <w:r w:rsidRPr="006A2DA9">
        <w:rPr>
          <w:rFonts w:ascii="Arial" w:hAnsi="Arial" w:cs="Arial"/>
          <w:sz w:val="22"/>
          <w:szCs w:val="22"/>
        </w:rPr>
        <w:t xml:space="preserve"> lei da concorrência e da </w:t>
      </w:r>
      <w:proofErr w:type="spellStart"/>
      <w:r w:rsidRPr="006A2DA9">
        <w:rPr>
          <w:rFonts w:ascii="Arial" w:hAnsi="Arial" w:cs="Arial"/>
          <w:sz w:val="22"/>
          <w:szCs w:val="22"/>
        </w:rPr>
        <w:t>protecção</w:t>
      </w:r>
      <w:proofErr w:type="spellEnd"/>
      <w:r w:rsidRPr="006A2DA9">
        <w:rPr>
          <w:rFonts w:ascii="Arial" w:hAnsi="Arial" w:cs="Arial"/>
          <w:sz w:val="22"/>
          <w:szCs w:val="22"/>
        </w:rPr>
        <w:t xml:space="preserve"> dos consumidores prevê:</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 xml:space="preserve">«1.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w:t>
      </w:r>
      <w:proofErr w:type="spellStart"/>
      <w:r w:rsidRPr="006A2DA9">
        <w:rPr>
          <w:rFonts w:ascii="Arial" w:hAnsi="Arial" w:cs="Arial"/>
          <w:sz w:val="22"/>
          <w:szCs w:val="22"/>
        </w:rPr>
        <w:t>adoptará</w:t>
      </w:r>
      <w:proofErr w:type="spellEnd"/>
      <w:r w:rsidRPr="006A2DA9">
        <w:rPr>
          <w:rFonts w:ascii="Arial" w:hAnsi="Arial" w:cs="Arial"/>
          <w:sz w:val="22"/>
          <w:szCs w:val="22"/>
        </w:rPr>
        <w:t xml:space="preserve"> uma decisão que conclui pela inexistência de prática restritiva da concorrência, se não verificar nenhuma violação das proibições definidas no artigo 5.° </w:t>
      </w:r>
      <w:proofErr w:type="gramStart"/>
      <w:r w:rsidRPr="006A2DA9">
        <w:rPr>
          <w:rFonts w:ascii="Arial" w:hAnsi="Arial" w:cs="Arial"/>
          <w:sz w:val="22"/>
          <w:szCs w:val="22"/>
        </w:rPr>
        <w:t>ou</w:t>
      </w:r>
      <w:proofErr w:type="gramEnd"/>
      <w:r w:rsidRPr="006A2DA9">
        <w:rPr>
          <w:rFonts w:ascii="Arial" w:hAnsi="Arial" w:cs="Arial"/>
          <w:sz w:val="22"/>
          <w:szCs w:val="22"/>
        </w:rPr>
        <w:t xml:space="preserve"> no artigo 8.°</w:t>
      </w:r>
    </w:p>
    <w:p w:rsidR="006A2DA9" w:rsidRPr="006A2DA9" w:rsidRDefault="006A2DA9" w:rsidP="006A2DA9">
      <w:pPr>
        <w:pStyle w:val="c02alineaalta"/>
        <w:spacing w:line="276" w:lineRule="auto"/>
        <w:rPr>
          <w:rFonts w:ascii="Arial" w:hAnsi="Arial" w:cs="Arial"/>
          <w:sz w:val="22"/>
          <w:szCs w:val="22"/>
        </w:rPr>
      </w:pPr>
      <w:r w:rsidRPr="006A2DA9">
        <w:rPr>
          <w:rFonts w:ascii="Arial" w:hAnsi="Arial" w:cs="Arial"/>
          <w:sz w:val="22"/>
          <w:szCs w:val="22"/>
        </w:rPr>
        <w:t>[…]»</w:t>
      </w:r>
    </w:p>
    <w:p w:rsidR="006A2DA9" w:rsidRPr="006A2DA9" w:rsidRDefault="006A2DA9" w:rsidP="006A2DA9">
      <w:pPr>
        <w:pStyle w:val="c04titre1"/>
        <w:spacing w:line="276" w:lineRule="auto"/>
        <w:rPr>
          <w:rFonts w:ascii="Arial" w:hAnsi="Arial" w:cs="Arial"/>
          <w:sz w:val="22"/>
          <w:szCs w:val="22"/>
        </w:rPr>
      </w:pPr>
      <w:r w:rsidRPr="006A2DA9">
        <w:rPr>
          <w:rFonts w:ascii="Arial" w:hAnsi="Arial" w:cs="Arial"/>
          <w:sz w:val="22"/>
          <w:szCs w:val="22"/>
        </w:rPr>
        <w:t>Litígio no processo principal e questões prejudiciais</w:t>
      </w:r>
    </w:p>
    <w:p w:rsidR="006A2DA9" w:rsidRPr="006A2DA9" w:rsidRDefault="006A2DA9" w:rsidP="006A2DA9">
      <w:pPr>
        <w:pStyle w:val="c01pointnumerotealtn"/>
        <w:spacing w:line="276" w:lineRule="auto"/>
        <w:rPr>
          <w:rFonts w:ascii="Arial" w:hAnsi="Arial" w:cs="Arial"/>
          <w:sz w:val="22"/>
          <w:szCs w:val="22"/>
        </w:rPr>
      </w:pPr>
      <w:bookmarkStart w:id="11" w:name="point11"/>
      <w:r w:rsidRPr="006A2DA9">
        <w:rPr>
          <w:rFonts w:ascii="Arial" w:hAnsi="Arial" w:cs="Arial"/>
          <w:sz w:val="22"/>
          <w:szCs w:val="22"/>
        </w:rPr>
        <w:t>11</w:t>
      </w:r>
      <w:bookmarkEnd w:id="11"/>
      <w:r w:rsidRPr="006A2DA9">
        <w:rPr>
          <w:rFonts w:ascii="Arial" w:hAnsi="Arial" w:cs="Arial"/>
          <w:sz w:val="22"/>
          <w:szCs w:val="22"/>
        </w:rPr>
        <w:t xml:space="preserve">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agindo na qualidade de autoridade nacional da concorrência na </w:t>
      </w:r>
      <w:proofErr w:type="spellStart"/>
      <w:r w:rsidRPr="006A2DA9">
        <w:rPr>
          <w:rFonts w:ascii="Arial" w:hAnsi="Arial" w:cs="Arial"/>
          <w:sz w:val="22"/>
          <w:szCs w:val="22"/>
        </w:rPr>
        <w:t>acepção</w:t>
      </w:r>
      <w:proofErr w:type="spellEnd"/>
      <w:r w:rsidRPr="006A2DA9">
        <w:rPr>
          <w:rFonts w:ascii="Arial" w:hAnsi="Arial" w:cs="Arial"/>
          <w:sz w:val="22"/>
          <w:szCs w:val="22"/>
        </w:rPr>
        <w:t xml:space="preserve"> do artigo 3.°, </w:t>
      </w:r>
      <w:proofErr w:type="spellStart"/>
      <w:proofErr w:type="gramStart"/>
      <w:r w:rsidRPr="006A2DA9">
        <w:rPr>
          <w:rFonts w:ascii="Arial" w:hAnsi="Arial" w:cs="Arial"/>
          <w:sz w:val="22"/>
          <w:szCs w:val="22"/>
        </w:rPr>
        <w:t>n</w:t>
      </w:r>
      <w:proofErr w:type="gramEnd"/>
      <w:r w:rsidRPr="006A2DA9">
        <w:rPr>
          <w:rFonts w:ascii="Arial" w:hAnsi="Arial" w:cs="Arial"/>
          <w:sz w:val="22"/>
          <w:szCs w:val="22"/>
        </w:rPr>
        <w:t>.°</w:t>
      </w:r>
      <w:proofErr w:type="spellEnd"/>
      <w:r w:rsidRPr="006A2DA9">
        <w:rPr>
          <w:rFonts w:ascii="Arial" w:hAnsi="Arial" w:cs="Arial"/>
          <w:sz w:val="22"/>
          <w:szCs w:val="22"/>
        </w:rPr>
        <w:t xml:space="preserve"> 1, do regulamento, deu início a um procedimento contra a </w:t>
      </w:r>
      <w:proofErr w:type="spellStart"/>
      <w:r w:rsidRPr="006A2DA9">
        <w:rPr>
          <w:rFonts w:ascii="Arial" w:hAnsi="Arial" w:cs="Arial"/>
          <w:sz w:val="22"/>
          <w:szCs w:val="22"/>
        </w:rPr>
        <w:t>Telekomunikacja</w:t>
      </w:r>
      <w:proofErr w:type="spellEnd"/>
      <w:r w:rsidRPr="006A2DA9">
        <w:rPr>
          <w:rFonts w:ascii="Arial" w:hAnsi="Arial" w:cs="Arial"/>
          <w:sz w:val="22"/>
          <w:szCs w:val="22"/>
        </w:rPr>
        <w:t xml:space="preserve"> </w:t>
      </w:r>
      <w:proofErr w:type="spellStart"/>
      <w:r w:rsidRPr="006A2DA9">
        <w:rPr>
          <w:rFonts w:ascii="Arial" w:hAnsi="Arial" w:cs="Arial"/>
          <w:sz w:val="22"/>
          <w:szCs w:val="22"/>
        </w:rPr>
        <w:t>Polska</w:t>
      </w:r>
      <w:proofErr w:type="spellEnd"/>
      <w:r w:rsidRPr="006A2DA9">
        <w:rPr>
          <w:rFonts w:ascii="Arial" w:hAnsi="Arial" w:cs="Arial"/>
          <w:sz w:val="22"/>
          <w:szCs w:val="22"/>
        </w:rPr>
        <w:t xml:space="preserve"> SA, por suspeita de esta ter violado o artigo 8.° </w:t>
      </w:r>
      <w:proofErr w:type="gramStart"/>
      <w:r w:rsidRPr="006A2DA9">
        <w:rPr>
          <w:rFonts w:ascii="Arial" w:hAnsi="Arial" w:cs="Arial"/>
          <w:sz w:val="22"/>
          <w:szCs w:val="22"/>
        </w:rPr>
        <w:t>da</w:t>
      </w:r>
      <w:proofErr w:type="gramEnd"/>
      <w:r w:rsidRPr="006A2DA9">
        <w:rPr>
          <w:rFonts w:ascii="Arial" w:hAnsi="Arial" w:cs="Arial"/>
          <w:sz w:val="22"/>
          <w:szCs w:val="22"/>
        </w:rPr>
        <w:t xml:space="preserve"> lei da concorrência e da </w:t>
      </w:r>
      <w:proofErr w:type="spellStart"/>
      <w:r w:rsidRPr="006A2DA9">
        <w:rPr>
          <w:rFonts w:ascii="Arial" w:hAnsi="Arial" w:cs="Arial"/>
          <w:sz w:val="22"/>
          <w:szCs w:val="22"/>
        </w:rPr>
        <w:t>protecção</w:t>
      </w:r>
      <w:proofErr w:type="spellEnd"/>
      <w:r w:rsidRPr="006A2DA9">
        <w:rPr>
          <w:rFonts w:ascii="Arial" w:hAnsi="Arial" w:cs="Arial"/>
          <w:sz w:val="22"/>
          <w:szCs w:val="22"/>
        </w:rPr>
        <w:t xml:space="preserve"> dos consumidores e o artigo 82.° CE (</w:t>
      </w:r>
      <w:proofErr w:type="spellStart"/>
      <w:r w:rsidRPr="006A2DA9">
        <w:rPr>
          <w:rFonts w:ascii="Arial" w:hAnsi="Arial" w:cs="Arial"/>
          <w:sz w:val="22"/>
          <w:szCs w:val="22"/>
        </w:rPr>
        <w:t>actual</w:t>
      </w:r>
      <w:proofErr w:type="spellEnd"/>
      <w:r w:rsidRPr="006A2DA9">
        <w:rPr>
          <w:rFonts w:ascii="Arial" w:hAnsi="Arial" w:cs="Arial"/>
          <w:sz w:val="22"/>
          <w:szCs w:val="22"/>
        </w:rPr>
        <w:t xml:space="preserve"> artigo 102.° TFUE). No final deste procedimento, o mesmo constatou que o comportamento da empresa em causa, que tinha uma posição dominante no mercado, não configurava um abuso dessa posição e que, assim, esse comportamento não constituía uma violação do direito nacional e do artigo 102.° TFUE. Por consequência,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w:t>
      </w:r>
      <w:proofErr w:type="spellStart"/>
      <w:r w:rsidRPr="006A2DA9">
        <w:rPr>
          <w:rFonts w:ascii="Arial" w:hAnsi="Arial" w:cs="Arial"/>
          <w:sz w:val="22"/>
          <w:szCs w:val="22"/>
        </w:rPr>
        <w:t>adoptou</w:t>
      </w:r>
      <w:proofErr w:type="spellEnd"/>
      <w:r w:rsidRPr="006A2DA9">
        <w:rPr>
          <w:rFonts w:ascii="Arial" w:hAnsi="Arial" w:cs="Arial"/>
          <w:sz w:val="22"/>
          <w:szCs w:val="22"/>
        </w:rPr>
        <w:t xml:space="preserve"> uma decisão, nos termos do direito nacional, na qual concluiu que a empresa em causa não tinha levado a cabo nenhuma prática restritiva, tendo declarado, no que se refere à violação do artigo 102.° TFUE, que não havia que conhecer do mérito da causa em razão da sua falta de </w:t>
      </w:r>
      <w:proofErr w:type="spellStart"/>
      <w:r w:rsidRPr="006A2DA9">
        <w:rPr>
          <w:rFonts w:ascii="Arial" w:hAnsi="Arial" w:cs="Arial"/>
          <w:sz w:val="22"/>
          <w:szCs w:val="22"/>
        </w:rPr>
        <w:t>objecto</w:t>
      </w:r>
      <w:proofErr w:type="spellEnd"/>
      <w:r w:rsidRPr="006A2DA9">
        <w:rPr>
          <w:rFonts w:ascii="Arial" w:hAnsi="Arial" w:cs="Arial"/>
          <w:sz w:val="22"/>
          <w:szCs w:val="22"/>
        </w:rPr>
        <w:t>.</w:t>
      </w:r>
    </w:p>
    <w:p w:rsidR="006A2DA9" w:rsidRPr="006A2DA9" w:rsidRDefault="006A2DA9" w:rsidP="006A2DA9">
      <w:pPr>
        <w:pStyle w:val="c01pointnumerotealtn"/>
        <w:spacing w:line="276" w:lineRule="auto"/>
        <w:rPr>
          <w:rFonts w:ascii="Arial" w:hAnsi="Arial" w:cs="Arial"/>
          <w:sz w:val="22"/>
          <w:szCs w:val="22"/>
        </w:rPr>
      </w:pPr>
      <w:bookmarkStart w:id="12" w:name="point12"/>
      <w:r w:rsidRPr="006A2DA9">
        <w:rPr>
          <w:rFonts w:ascii="Arial" w:hAnsi="Arial" w:cs="Arial"/>
          <w:sz w:val="22"/>
          <w:szCs w:val="22"/>
        </w:rPr>
        <w:t>12</w:t>
      </w:r>
      <w:bookmarkEnd w:id="12"/>
      <w:r w:rsidRPr="006A2DA9">
        <w:rPr>
          <w:rFonts w:ascii="Arial" w:hAnsi="Arial" w:cs="Arial"/>
          <w:sz w:val="22"/>
          <w:szCs w:val="22"/>
        </w:rPr>
        <w:t xml:space="preserve"> A Tele2 </w:t>
      </w:r>
      <w:proofErr w:type="spellStart"/>
      <w:r w:rsidRPr="006A2DA9">
        <w:rPr>
          <w:rFonts w:ascii="Arial" w:hAnsi="Arial" w:cs="Arial"/>
          <w:sz w:val="22"/>
          <w:szCs w:val="22"/>
        </w:rPr>
        <w:t>Polska</w:t>
      </w:r>
      <w:proofErr w:type="spellEnd"/>
      <w:r w:rsidRPr="006A2DA9">
        <w:rPr>
          <w:rFonts w:ascii="Arial" w:hAnsi="Arial" w:cs="Arial"/>
          <w:sz w:val="22"/>
          <w:szCs w:val="22"/>
        </w:rPr>
        <w:t xml:space="preserve"> </w:t>
      </w:r>
      <w:proofErr w:type="spellStart"/>
      <w:r w:rsidRPr="006A2DA9">
        <w:rPr>
          <w:rFonts w:ascii="Arial" w:hAnsi="Arial" w:cs="Arial"/>
          <w:sz w:val="22"/>
          <w:szCs w:val="22"/>
        </w:rPr>
        <w:t>sp</w:t>
      </w:r>
      <w:proofErr w:type="spellEnd"/>
      <w:r w:rsidRPr="006A2DA9">
        <w:rPr>
          <w:rFonts w:ascii="Arial" w:hAnsi="Arial" w:cs="Arial"/>
          <w:sz w:val="22"/>
          <w:szCs w:val="22"/>
        </w:rPr>
        <w:t xml:space="preserve">. </w:t>
      </w:r>
      <w:proofErr w:type="gramStart"/>
      <w:r w:rsidRPr="006A2DA9">
        <w:rPr>
          <w:rFonts w:ascii="Arial" w:hAnsi="Arial" w:cs="Arial"/>
          <w:sz w:val="22"/>
          <w:szCs w:val="22"/>
        </w:rPr>
        <w:t>z</w:t>
      </w:r>
      <w:proofErr w:type="gramEnd"/>
      <w:r w:rsidRPr="006A2DA9">
        <w:rPr>
          <w:rFonts w:ascii="Arial" w:hAnsi="Arial" w:cs="Arial"/>
          <w:sz w:val="22"/>
          <w:szCs w:val="22"/>
        </w:rPr>
        <w:t xml:space="preserve"> </w:t>
      </w:r>
      <w:proofErr w:type="spellStart"/>
      <w:r w:rsidRPr="006A2DA9">
        <w:rPr>
          <w:rFonts w:ascii="Arial" w:hAnsi="Arial" w:cs="Arial"/>
          <w:sz w:val="22"/>
          <w:szCs w:val="22"/>
        </w:rPr>
        <w:t>o.o</w:t>
      </w:r>
      <w:proofErr w:type="spellEnd"/>
      <w:r w:rsidRPr="006A2DA9">
        <w:rPr>
          <w:rFonts w:ascii="Arial" w:hAnsi="Arial" w:cs="Arial"/>
          <w:sz w:val="22"/>
          <w:szCs w:val="22"/>
        </w:rPr>
        <w:t xml:space="preserve">., </w:t>
      </w:r>
      <w:proofErr w:type="spellStart"/>
      <w:r w:rsidRPr="006A2DA9">
        <w:rPr>
          <w:rFonts w:ascii="Arial" w:hAnsi="Arial" w:cs="Arial"/>
          <w:sz w:val="22"/>
          <w:szCs w:val="22"/>
        </w:rPr>
        <w:t>actualmente</w:t>
      </w:r>
      <w:proofErr w:type="spellEnd"/>
      <w:r w:rsidRPr="006A2DA9">
        <w:rPr>
          <w:rFonts w:ascii="Arial" w:hAnsi="Arial" w:cs="Arial"/>
          <w:sz w:val="22"/>
          <w:szCs w:val="22"/>
        </w:rPr>
        <w:t xml:space="preserve"> </w:t>
      </w:r>
      <w:proofErr w:type="spellStart"/>
      <w:r w:rsidRPr="006A2DA9">
        <w:rPr>
          <w:rFonts w:ascii="Arial" w:hAnsi="Arial" w:cs="Arial"/>
          <w:sz w:val="22"/>
          <w:szCs w:val="22"/>
        </w:rPr>
        <w:t>Netia</w:t>
      </w:r>
      <w:proofErr w:type="spellEnd"/>
      <w:r w:rsidRPr="006A2DA9">
        <w:rPr>
          <w:rFonts w:ascii="Arial" w:hAnsi="Arial" w:cs="Arial"/>
          <w:sz w:val="22"/>
          <w:szCs w:val="22"/>
        </w:rPr>
        <w:t xml:space="preserve"> SA, impugnou essa decisão.</w:t>
      </w:r>
    </w:p>
    <w:p w:rsidR="006A2DA9" w:rsidRPr="006A2DA9" w:rsidRDefault="006A2DA9" w:rsidP="006A2DA9">
      <w:pPr>
        <w:pStyle w:val="c01pointnumerotealtn"/>
        <w:spacing w:line="276" w:lineRule="auto"/>
        <w:rPr>
          <w:rFonts w:ascii="Arial" w:hAnsi="Arial" w:cs="Arial"/>
          <w:sz w:val="22"/>
          <w:szCs w:val="22"/>
        </w:rPr>
      </w:pPr>
      <w:bookmarkStart w:id="13" w:name="point13"/>
      <w:r w:rsidRPr="006A2DA9">
        <w:rPr>
          <w:rFonts w:ascii="Arial" w:hAnsi="Arial" w:cs="Arial"/>
          <w:sz w:val="22"/>
          <w:szCs w:val="22"/>
        </w:rPr>
        <w:t>13</w:t>
      </w:r>
      <w:bookmarkEnd w:id="13"/>
      <w:r w:rsidRPr="006A2DA9">
        <w:rPr>
          <w:rFonts w:ascii="Arial" w:hAnsi="Arial" w:cs="Arial"/>
          <w:sz w:val="22"/>
          <w:szCs w:val="22"/>
        </w:rPr>
        <w:t xml:space="preserve"> O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Okręgowy</w:t>
      </w:r>
      <w:proofErr w:type="spellEnd"/>
      <w:r w:rsidRPr="006A2DA9">
        <w:rPr>
          <w:rFonts w:ascii="Arial" w:hAnsi="Arial" w:cs="Arial"/>
          <w:sz w:val="22"/>
          <w:szCs w:val="22"/>
        </w:rPr>
        <w:t xml:space="preserve"> –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i </w:t>
      </w:r>
      <w:proofErr w:type="spellStart"/>
      <w:r w:rsidRPr="006A2DA9">
        <w:rPr>
          <w:rFonts w:ascii="Arial" w:hAnsi="Arial" w:cs="Arial"/>
          <w:sz w:val="22"/>
          <w:szCs w:val="22"/>
        </w:rPr>
        <w:t>Konsumentów</w:t>
      </w:r>
      <w:proofErr w:type="spellEnd"/>
      <w:r w:rsidRPr="006A2DA9">
        <w:rPr>
          <w:rFonts w:ascii="Arial" w:hAnsi="Arial" w:cs="Arial"/>
          <w:sz w:val="22"/>
          <w:szCs w:val="22"/>
        </w:rPr>
        <w:t xml:space="preserve"> (Tribunal Regional – Tribunal da Concorrência e da </w:t>
      </w:r>
      <w:proofErr w:type="spellStart"/>
      <w:r w:rsidRPr="006A2DA9">
        <w:rPr>
          <w:rFonts w:ascii="Arial" w:hAnsi="Arial" w:cs="Arial"/>
          <w:sz w:val="22"/>
          <w:szCs w:val="22"/>
        </w:rPr>
        <w:t>Protecção</w:t>
      </w:r>
      <w:proofErr w:type="spellEnd"/>
      <w:r w:rsidRPr="006A2DA9">
        <w:rPr>
          <w:rFonts w:ascii="Arial" w:hAnsi="Arial" w:cs="Arial"/>
          <w:sz w:val="22"/>
          <w:szCs w:val="22"/>
        </w:rPr>
        <w:t xml:space="preserve"> dos Consumidores) anulou a referida decisão, e o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Apelacyjny</w:t>
      </w:r>
      <w:proofErr w:type="spellEnd"/>
      <w:r w:rsidRPr="006A2DA9">
        <w:rPr>
          <w:rFonts w:ascii="Arial" w:hAnsi="Arial" w:cs="Arial"/>
          <w:sz w:val="22"/>
          <w:szCs w:val="22"/>
        </w:rPr>
        <w:t xml:space="preserve"> w </w:t>
      </w:r>
      <w:proofErr w:type="spellStart"/>
      <w:r w:rsidRPr="006A2DA9">
        <w:rPr>
          <w:rFonts w:ascii="Arial" w:hAnsi="Arial" w:cs="Arial"/>
          <w:sz w:val="22"/>
          <w:szCs w:val="22"/>
        </w:rPr>
        <w:t>Warszawie</w:t>
      </w:r>
      <w:proofErr w:type="spellEnd"/>
      <w:r w:rsidRPr="006A2DA9">
        <w:rPr>
          <w:rFonts w:ascii="Arial" w:hAnsi="Arial" w:cs="Arial"/>
          <w:sz w:val="22"/>
          <w:szCs w:val="22"/>
        </w:rPr>
        <w:t xml:space="preserve"> (Tribunal de Recurso de Varsóvia) confirmou a anulação dessa mesma decisão, declarando que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deveria ter </w:t>
      </w:r>
      <w:proofErr w:type="spellStart"/>
      <w:r w:rsidRPr="006A2DA9">
        <w:rPr>
          <w:rFonts w:ascii="Arial" w:hAnsi="Arial" w:cs="Arial"/>
          <w:sz w:val="22"/>
          <w:szCs w:val="22"/>
        </w:rPr>
        <w:t>adoptado</w:t>
      </w:r>
      <w:proofErr w:type="spellEnd"/>
      <w:r w:rsidRPr="006A2DA9">
        <w:rPr>
          <w:rFonts w:ascii="Arial" w:hAnsi="Arial" w:cs="Arial"/>
          <w:sz w:val="22"/>
          <w:szCs w:val="22"/>
        </w:rPr>
        <w:t xml:space="preserve"> uma decisão que concluísse pela inexistência de prática restritiva da concorrência nos termos do artigo 102.° TFUE, uma vez que havia </w:t>
      </w:r>
      <w:proofErr w:type="spellStart"/>
      <w:r w:rsidRPr="006A2DA9">
        <w:rPr>
          <w:rFonts w:ascii="Arial" w:hAnsi="Arial" w:cs="Arial"/>
          <w:sz w:val="22"/>
          <w:szCs w:val="22"/>
        </w:rPr>
        <w:t>adoptado</w:t>
      </w:r>
      <w:proofErr w:type="spellEnd"/>
      <w:r w:rsidRPr="006A2DA9">
        <w:rPr>
          <w:rFonts w:ascii="Arial" w:hAnsi="Arial" w:cs="Arial"/>
          <w:sz w:val="22"/>
          <w:szCs w:val="22"/>
        </w:rPr>
        <w:t xml:space="preserve"> uma decisão desta natureza em relação à proibição de abuso de posição dominante estabelecida no direito nacional.</w:t>
      </w:r>
    </w:p>
    <w:p w:rsidR="006A2DA9" w:rsidRPr="006A2DA9" w:rsidRDefault="006A2DA9" w:rsidP="006A2DA9">
      <w:pPr>
        <w:pStyle w:val="c01pointnumerotealtn"/>
        <w:spacing w:line="276" w:lineRule="auto"/>
        <w:rPr>
          <w:rFonts w:ascii="Arial" w:hAnsi="Arial" w:cs="Arial"/>
          <w:sz w:val="22"/>
          <w:szCs w:val="22"/>
        </w:rPr>
      </w:pPr>
      <w:bookmarkStart w:id="14" w:name="point14"/>
      <w:r w:rsidRPr="006A2DA9">
        <w:rPr>
          <w:rFonts w:ascii="Arial" w:hAnsi="Arial" w:cs="Arial"/>
          <w:sz w:val="22"/>
          <w:szCs w:val="22"/>
        </w:rPr>
        <w:lastRenderedPageBreak/>
        <w:t>14</w:t>
      </w:r>
      <w:bookmarkEnd w:id="14"/>
      <w:r w:rsidRPr="006A2DA9">
        <w:rPr>
          <w:rFonts w:ascii="Arial" w:hAnsi="Arial" w:cs="Arial"/>
          <w:sz w:val="22"/>
          <w:szCs w:val="22"/>
        </w:rPr>
        <w:t xml:space="preserve">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interpôs recurso para o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Najwyższy</w:t>
      </w:r>
      <w:proofErr w:type="spellEnd"/>
      <w:r w:rsidRPr="006A2DA9">
        <w:rPr>
          <w:rFonts w:ascii="Arial" w:hAnsi="Arial" w:cs="Arial"/>
          <w:sz w:val="22"/>
          <w:szCs w:val="22"/>
        </w:rPr>
        <w:t xml:space="preserve"> (Supremo Tribunal de Justiça), alegando que o regulamento não lhe permitia </w:t>
      </w:r>
      <w:proofErr w:type="spellStart"/>
      <w:r w:rsidRPr="006A2DA9">
        <w:rPr>
          <w:rFonts w:ascii="Arial" w:hAnsi="Arial" w:cs="Arial"/>
          <w:sz w:val="22"/>
          <w:szCs w:val="22"/>
        </w:rPr>
        <w:t>adoptar</w:t>
      </w:r>
      <w:proofErr w:type="spellEnd"/>
      <w:r w:rsidRPr="006A2DA9">
        <w:rPr>
          <w:rFonts w:ascii="Arial" w:hAnsi="Arial" w:cs="Arial"/>
          <w:sz w:val="22"/>
          <w:szCs w:val="22"/>
        </w:rPr>
        <w:t xml:space="preserve"> uma decisão negativa sobre o mérito no que respeita à apreciação da conformidade das práticas da empresa em causa com o disposto no artigo 102.° TFUE.</w:t>
      </w:r>
    </w:p>
    <w:p w:rsidR="006A2DA9" w:rsidRPr="006A2DA9" w:rsidRDefault="006A2DA9" w:rsidP="006A2DA9">
      <w:pPr>
        <w:pStyle w:val="c01pointnumerotealtn"/>
        <w:spacing w:line="276" w:lineRule="auto"/>
        <w:rPr>
          <w:rFonts w:ascii="Arial" w:hAnsi="Arial" w:cs="Arial"/>
          <w:sz w:val="22"/>
          <w:szCs w:val="22"/>
        </w:rPr>
      </w:pPr>
      <w:bookmarkStart w:id="15" w:name="point15"/>
      <w:r w:rsidRPr="006A2DA9">
        <w:rPr>
          <w:rFonts w:ascii="Arial" w:hAnsi="Arial" w:cs="Arial"/>
          <w:sz w:val="22"/>
          <w:szCs w:val="22"/>
        </w:rPr>
        <w:t>15</w:t>
      </w:r>
      <w:bookmarkEnd w:id="15"/>
      <w:r w:rsidRPr="006A2DA9">
        <w:rPr>
          <w:rFonts w:ascii="Arial" w:hAnsi="Arial" w:cs="Arial"/>
          <w:sz w:val="22"/>
          <w:szCs w:val="22"/>
        </w:rPr>
        <w:t xml:space="preserve"> Segundo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regula a competência das autoridades nacionais da concorrência e restringe as possibilidades decisórias dessas autoridades. Nos termos deste artigo, não lhe é conferida competência para </w:t>
      </w:r>
      <w:proofErr w:type="spellStart"/>
      <w:r w:rsidRPr="006A2DA9">
        <w:rPr>
          <w:rFonts w:ascii="Arial" w:hAnsi="Arial" w:cs="Arial"/>
          <w:sz w:val="22"/>
          <w:szCs w:val="22"/>
        </w:rPr>
        <w:t>adoptar</w:t>
      </w:r>
      <w:proofErr w:type="spellEnd"/>
      <w:r w:rsidRPr="006A2DA9">
        <w:rPr>
          <w:rFonts w:ascii="Arial" w:hAnsi="Arial" w:cs="Arial"/>
          <w:sz w:val="22"/>
          <w:szCs w:val="22"/>
        </w:rPr>
        <w:t xml:space="preserve"> uma decisão negativa sobre o mérito quanto à apreciação da conformidade das práticas das empresas com o disposto no artigo 102.° TFUE. Assim, no termo do processo instaurado contra a </w:t>
      </w:r>
      <w:proofErr w:type="spellStart"/>
      <w:r w:rsidRPr="006A2DA9">
        <w:rPr>
          <w:rFonts w:ascii="Arial" w:hAnsi="Arial" w:cs="Arial"/>
          <w:sz w:val="22"/>
          <w:szCs w:val="22"/>
        </w:rPr>
        <w:t>Telekomunikacja</w:t>
      </w:r>
      <w:proofErr w:type="spellEnd"/>
      <w:r w:rsidRPr="006A2DA9">
        <w:rPr>
          <w:rFonts w:ascii="Arial" w:hAnsi="Arial" w:cs="Arial"/>
          <w:sz w:val="22"/>
          <w:szCs w:val="22"/>
        </w:rPr>
        <w:t xml:space="preserve"> </w:t>
      </w:r>
      <w:proofErr w:type="spellStart"/>
      <w:r w:rsidRPr="006A2DA9">
        <w:rPr>
          <w:rFonts w:ascii="Arial" w:hAnsi="Arial" w:cs="Arial"/>
          <w:sz w:val="22"/>
          <w:szCs w:val="22"/>
        </w:rPr>
        <w:t>Polska</w:t>
      </w:r>
      <w:proofErr w:type="spellEnd"/>
      <w:r w:rsidRPr="006A2DA9">
        <w:rPr>
          <w:rFonts w:ascii="Arial" w:hAnsi="Arial" w:cs="Arial"/>
          <w:sz w:val="22"/>
          <w:szCs w:val="22"/>
        </w:rPr>
        <w:t xml:space="preserve"> SA, quando se verificou que não tinha havido, por parte desta empresa, abuso de posição dominante na </w:t>
      </w:r>
      <w:proofErr w:type="spellStart"/>
      <w:r w:rsidRPr="006A2DA9">
        <w:rPr>
          <w:rFonts w:ascii="Arial" w:hAnsi="Arial" w:cs="Arial"/>
          <w:sz w:val="22"/>
          <w:szCs w:val="22"/>
        </w:rPr>
        <w:t>acepção</w:t>
      </w:r>
      <w:proofErr w:type="spellEnd"/>
      <w:r w:rsidRPr="006A2DA9">
        <w:rPr>
          <w:rFonts w:ascii="Arial" w:hAnsi="Arial" w:cs="Arial"/>
          <w:sz w:val="22"/>
          <w:szCs w:val="22"/>
        </w:rPr>
        <w:t xml:space="preserve"> do artigo 102.° TFUE,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tomou uma decisão que pôs fim a esse processo, sem decidir sobre o mérito da causa.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enumera quatro tipos de decisão sobre o mérito da causa, não prevendo nenhuma delas que a autoridade nacional da concorrência possa concluir pela inexistência de </w:t>
      </w:r>
      <w:proofErr w:type="spellStart"/>
      <w:r w:rsidRPr="006A2DA9">
        <w:rPr>
          <w:rFonts w:ascii="Arial" w:hAnsi="Arial" w:cs="Arial"/>
          <w:sz w:val="22"/>
          <w:szCs w:val="22"/>
        </w:rPr>
        <w:t>infracção</w:t>
      </w:r>
      <w:proofErr w:type="spellEnd"/>
      <w:r w:rsidRPr="006A2DA9">
        <w:rPr>
          <w:rFonts w:ascii="Arial" w:hAnsi="Arial" w:cs="Arial"/>
          <w:sz w:val="22"/>
          <w:szCs w:val="22"/>
        </w:rPr>
        <w:t xml:space="preserve">. Além disso, o artigo 10.°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que reconhece à Comissão o direito de </w:t>
      </w:r>
      <w:proofErr w:type="spellStart"/>
      <w:r w:rsidRPr="006A2DA9">
        <w:rPr>
          <w:rFonts w:ascii="Arial" w:hAnsi="Arial" w:cs="Arial"/>
          <w:sz w:val="22"/>
          <w:szCs w:val="22"/>
        </w:rPr>
        <w:t>adoptar</w:t>
      </w:r>
      <w:proofErr w:type="spellEnd"/>
      <w:r w:rsidRPr="006A2DA9">
        <w:rPr>
          <w:rFonts w:ascii="Arial" w:hAnsi="Arial" w:cs="Arial"/>
          <w:sz w:val="22"/>
          <w:szCs w:val="22"/>
        </w:rPr>
        <w:t xml:space="preserve"> oficiosamente uma decisão que declare que o artigo 102.° TFUE não é aplicável a determinados comportamentos de uma empresa no interesse público comunitário, não confere esse direito às autoridades nacionais da concorrência. Segundo 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o artigo 10.°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tem por </w:t>
      </w:r>
      <w:proofErr w:type="spellStart"/>
      <w:r w:rsidRPr="006A2DA9">
        <w:rPr>
          <w:rFonts w:ascii="Arial" w:hAnsi="Arial" w:cs="Arial"/>
          <w:sz w:val="22"/>
          <w:szCs w:val="22"/>
        </w:rPr>
        <w:t>objectivo</w:t>
      </w:r>
      <w:proofErr w:type="spellEnd"/>
      <w:r w:rsidRPr="006A2DA9">
        <w:rPr>
          <w:rFonts w:ascii="Arial" w:hAnsi="Arial" w:cs="Arial"/>
          <w:sz w:val="22"/>
          <w:szCs w:val="22"/>
        </w:rPr>
        <w:t xml:space="preserve"> impedir que as autoridades nacionais da concorrência possam bloquear toda e qualquer possibilidade de a Comissão declarar que foram violados os artigos 101.° TFUE ou 102.° TFUE, </w:t>
      </w:r>
      <w:proofErr w:type="spellStart"/>
      <w:r w:rsidRPr="006A2DA9">
        <w:rPr>
          <w:rFonts w:ascii="Arial" w:hAnsi="Arial" w:cs="Arial"/>
          <w:sz w:val="22"/>
          <w:szCs w:val="22"/>
        </w:rPr>
        <w:t>adoptando</w:t>
      </w:r>
      <w:proofErr w:type="spellEnd"/>
      <w:r w:rsidRPr="006A2DA9">
        <w:rPr>
          <w:rFonts w:ascii="Arial" w:hAnsi="Arial" w:cs="Arial"/>
          <w:sz w:val="22"/>
          <w:szCs w:val="22"/>
        </w:rPr>
        <w:t xml:space="preserve"> decisões que concluam pela inexistência de violação dessas disposições, tendo em conta o princípio </w:t>
      </w:r>
      <w:proofErr w:type="spellStart"/>
      <w:r w:rsidRPr="006A2DA9">
        <w:rPr>
          <w:rFonts w:ascii="Arial" w:hAnsi="Arial" w:cs="Arial"/>
          <w:i/>
          <w:iCs/>
          <w:sz w:val="22"/>
          <w:szCs w:val="22"/>
        </w:rPr>
        <w:t>ne</w:t>
      </w:r>
      <w:proofErr w:type="spellEnd"/>
      <w:r w:rsidRPr="006A2DA9">
        <w:rPr>
          <w:rFonts w:ascii="Arial" w:hAnsi="Arial" w:cs="Arial"/>
          <w:i/>
          <w:iCs/>
          <w:sz w:val="22"/>
          <w:szCs w:val="22"/>
        </w:rPr>
        <w:t xml:space="preserve"> bis in idem</w:t>
      </w:r>
      <w:r w:rsidRPr="006A2DA9">
        <w:rPr>
          <w:rFonts w:ascii="Arial" w:hAnsi="Arial" w:cs="Arial"/>
          <w:sz w:val="22"/>
          <w:szCs w:val="22"/>
        </w:rPr>
        <w:t>.</w:t>
      </w:r>
    </w:p>
    <w:p w:rsidR="006A2DA9" w:rsidRPr="006A2DA9" w:rsidRDefault="006A2DA9" w:rsidP="006A2DA9">
      <w:pPr>
        <w:pStyle w:val="c01pointnumerotealtn"/>
        <w:spacing w:line="276" w:lineRule="auto"/>
        <w:rPr>
          <w:rFonts w:ascii="Arial" w:hAnsi="Arial" w:cs="Arial"/>
          <w:sz w:val="22"/>
          <w:szCs w:val="22"/>
        </w:rPr>
      </w:pPr>
      <w:bookmarkStart w:id="16" w:name="point16"/>
      <w:r w:rsidRPr="006A2DA9">
        <w:rPr>
          <w:rFonts w:ascii="Arial" w:hAnsi="Arial" w:cs="Arial"/>
          <w:sz w:val="22"/>
          <w:szCs w:val="22"/>
        </w:rPr>
        <w:t>16</w:t>
      </w:r>
      <w:bookmarkEnd w:id="16"/>
      <w:r w:rsidRPr="006A2DA9">
        <w:rPr>
          <w:rFonts w:ascii="Arial" w:hAnsi="Arial" w:cs="Arial"/>
          <w:sz w:val="22"/>
          <w:szCs w:val="22"/>
        </w:rPr>
        <w:t xml:space="preserve"> O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Najwyższy</w:t>
      </w:r>
      <w:proofErr w:type="spellEnd"/>
      <w:r w:rsidRPr="006A2DA9">
        <w:rPr>
          <w:rFonts w:ascii="Arial" w:hAnsi="Arial" w:cs="Arial"/>
          <w:sz w:val="22"/>
          <w:szCs w:val="22"/>
        </w:rPr>
        <w:t xml:space="preserve"> considera, por um lado, que a autonomia processual neste caso é limitada e não dá ao Prezes </w:t>
      </w:r>
      <w:proofErr w:type="spellStart"/>
      <w:r w:rsidRPr="006A2DA9">
        <w:rPr>
          <w:rFonts w:ascii="Arial" w:hAnsi="Arial" w:cs="Arial"/>
          <w:sz w:val="22"/>
          <w:szCs w:val="22"/>
        </w:rPr>
        <w:t>Urzędu</w:t>
      </w:r>
      <w:proofErr w:type="spellEnd"/>
      <w:r w:rsidRPr="006A2DA9">
        <w:rPr>
          <w:rFonts w:ascii="Arial" w:hAnsi="Arial" w:cs="Arial"/>
          <w:sz w:val="22"/>
          <w:szCs w:val="22"/>
        </w:rPr>
        <w:t xml:space="preserve"> </w:t>
      </w:r>
      <w:proofErr w:type="spellStart"/>
      <w:r w:rsidRPr="006A2DA9">
        <w:rPr>
          <w:rFonts w:ascii="Arial" w:hAnsi="Arial" w:cs="Arial"/>
          <w:sz w:val="22"/>
          <w:szCs w:val="22"/>
        </w:rPr>
        <w:t>Ochrony</w:t>
      </w:r>
      <w:proofErr w:type="spellEnd"/>
      <w:r w:rsidRPr="006A2DA9">
        <w:rPr>
          <w:rFonts w:ascii="Arial" w:hAnsi="Arial" w:cs="Arial"/>
          <w:sz w:val="22"/>
          <w:szCs w:val="22"/>
        </w:rPr>
        <w:t xml:space="preserve"> </w:t>
      </w:r>
      <w:proofErr w:type="spellStart"/>
      <w:r w:rsidRPr="006A2DA9">
        <w:rPr>
          <w:rFonts w:ascii="Arial" w:hAnsi="Arial" w:cs="Arial"/>
          <w:sz w:val="22"/>
          <w:szCs w:val="22"/>
        </w:rPr>
        <w:t>Konkurencji</w:t>
      </w:r>
      <w:proofErr w:type="spellEnd"/>
      <w:r w:rsidRPr="006A2DA9">
        <w:rPr>
          <w:rFonts w:ascii="Arial" w:hAnsi="Arial" w:cs="Arial"/>
          <w:sz w:val="22"/>
          <w:szCs w:val="22"/>
        </w:rPr>
        <w:t xml:space="preserve"> a possibilidade de </w:t>
      </w:r>
      <w:proofErr w:type="spellStart"/>
      <w:r w:rsidRPr="006A2DA9">
        <w:rPr>
          <w:rFonts w:ascii="Arial" w:hAnsi="Arial" w:cs="Arial"/>
          <w:sz w:val="22"/>
          <w:szCs w:val="22"/>
        </w:rPr>
        <w:t>adoptar</w:t>
      </w:r>
      <w:proofErr w:type="spellEnd"/>
      <w:r w:rsidRPr="006A2DA9">
        <w:rPr>
          <w:rFonts w:ascii="Arial" w:hAnsi="Arial" w:cs="Arial"/>
          <w:sz w:val="22"/>
          <w:szCs w:val="22"/>
        </w:rPr>
        <w:t xml:space="preserve"> uma decisão que conclua pela inexistência de uma prática restritiva da concorrência, visto que essa decisão não faz parte da lista de decisões enumeradas no artigo 5.°, </w:t>
      </w:r>
      <w:proofErr w:type="gramStart"/>
      <w:r w:rsidRPr="006A2DA9">
        <w:rPr>
          <w:rFonts w:ascii="Arial" w:hAnsi="Arial" w:cs="Arial"/>
          <w:sz w:val="22"/>
          <w:szCs w:val="22"/>
        </w:rPr>
        <w:t>primeiro</w:t>
      </w:r>
      <w:proofErr w:type="gramEnd"/>
      <w:r w:rsidRPr="006A2DA9">
        <w:rPr>
          <w:rFonts w:ascii="Arial" w:hAnsi="Arial" w:cs="Arial"/>
          <w:sz w:val="22"/>
          <w:szCs w:val="22"/>
        </w:rPr>
        <w:t xml:space="preserve"> parágrafo, segunda frase, do regulamento.</w:t>
      </w:r>
    </w:p>
    <w:p w:rsidR="006A2DA9" w:rsidRPr="006A2DA9" w:rsidRDefault="006A2DA9" w:rsidP="006A2DA9">
      <w:pPr>
        <w:pStyle w:val="c01pointnumerotealtn"/>
        <w:spacing w:line="276" w:lineRule="auto"/>
        <w:rPr>
          <w:rFonts w:ascii="Arial" w:hAnsi="Arial" w:cs="Arial"/>
          <w:sz w:val="22"/>
          <w:szCs w:val="22"/>
        </w:rPr>
      </w:pPr>
      <w:bookmarkStart w:id="17" w:name="point17"/>
      <w:r w:rsidRPr="006A2DA9">
        <w:rPr>
          <w:rFonts w:ascii="Arial" w:hAnsi="Arial" w:cs="Arial"/>
          <w:sz w:val="22"/>
          <w:szCs w:val="22"/>
        </w:rPr>
        <w:t>17</w:t>
      </w:r>
      <w:bookmarkEnd w:id="17"/>
      <w:r w:rsidRPr="006A2DA9">
        <w:rPr>
          <w:rFonts w:ascii="Arial" w:hAnsi="Arial" w:cs="Arial"/>
          <w:sz w:val="22"/>
          <w:szCs w:val="22"/>
        </w:rPr>
        <w:t xml:space="preserve"> Por outro lado, o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Najwyższy</w:t>
      </w:r>
      <w:proofErr w:type="spellEnd"/>
      <w:r w:rsidRPr="006A2DA9">
        <w:rPr>
          <w:rFonts w:ascii="Arial" w:hAnsi="Arial" w:cs="Arial"/>
          <w:sz w:val="22"/>
          <w:szCs w:val="22"/>
        </w:rPr>
        <w:t xml:space="preserve"> observa que uma interpretação teleológica e funcional do artigo 5.°, </w:t>
      </w:r>
      <w:proofErr w:type="gramStart"/>
      <w:r w:rsidRPr="006A2DA9">
        <w:rPr>
          <w:rFonts w:ascii="Arial" w:hAnsi="Arial" w:cs="Arial"/>
          <w:sz w:val="22"/>
          <w:szCs w:val="22"/>
        </w:rPr>
        <w:t>segundo</w:t>
      </w:r>
      <w:proofErr w:type="gramEnd"/>
      <w:r w:rsidRPr="006A2DA9">
        <w:rPr>
          <w:rFonts w:ascii="Arial" w:hAnsi="Arial" w:cs="Arial"/>
          <w:sz w:val="22"/>
          <w:szCs w:val="22"/>
        </w:rPr>
        <w:t xml:space="preserve"> parágrafo, do regulamento, em conjugação com o artigo 5.°, </w:t>
      </w:r>
      <w:proofErr w:type="gramStart"/>
      <w:r w:rsidRPr="006A2DA9">
        <w:rPr>
          <w:rFonts w:ascii="Arial" w:hAnsi="Arial" w:cs="Arial"/>
          <w:sz w:val="22"/>
          <w:szCs w:val="22"/>
        </w:rPr>
        <w:t>primeiro</w:t>
      </w:r>
      <w:proofErr w:type="gramEnd"/>
      <w:r w:rsidRPr="006A2DA9">
        <w:rPr>
          <w:rFonts w:ascii="Arial" w:hAnsi="Arial" w:cs="Arial"/>
          <w:sz w:val="22"/>
          <w:szCs w:val="22"/>
        </w:rPr>
        <w:t xml:space="preserve"> parágrafo, segunda frase, do regulamento e com as outras disposições do mesmo, pode permitir à autoridade nacional da concorrência tomar uma decisão como a decisão em causa. A </w:t>
      </w:r>
      <w:proofErr w:type="spellStart"/>
      <w:r w:rsidRPr="006A2DA9">
        <w:rPr>
          <w:rFonts w:ascii="Arial" w:hAnsi="Arial" w:cs="Arial"/>
          <w:sz w:val="22"/>
          <w:szCs w:val="22"/>
        </w:rPr>
        <w:t>redacção</w:t>
      </w:r>
      <w:proofErr w:type="spellEnd"/>
      <w:r w:rsidRPr="006A2DA9">
        <w:rPr>
          <w:rFonts w:ascii="Arial" w:hAnsi="Arial" w:cs="Arial"/>
          <w:sz w:val="22"/>
          <w:szCs w:val="22"/>
        </w:rPr>
        <w:t xml:space="preserve"> do artigo 5.°, </w:t>
      </w:r>
      <w:proofErr w:type="gramStart"/>
      <w:r w:rsidRPr="006A2DA9">
        <w:rPr>
          <w:rFonts w:ascii="Arial" w:hAnsi="Arial" w:cs="Arial"/>
          <w:sz w:val="22"/>
          <w:szCs w:val="22"/>
        </w:rPr>
        <w:t>segundo</w:t>
      </w:r>
      <w:proofErr w:type="gramEnd"/>
      <w:r w:rsidRPr="006A2DA9">
        <w:rPr>
          <w:rFonts w:ascii="Arial" w:hAnsi="Arial" w:cs="Arial"/>
          <w:sz w:val="22"/>
          <w:szCs w:val="22"/>
        </w:rPr>
        <w:t xml:space="preserve"> parágrafo, do regulamento, que menciona que as autoridades nacionais da concorrência podem decidir «que não se justifica a sua intervenção» sempre que não estejam preenchidas as condições de uma proibição, pode não excluir tal possibilidade.</w:t>
      </w:r>
    </w:p>
    <w:p w:rsidR="006A2DA9" w:rsidRPr="006A2DA9" w:rsidRDefault="006A2DA9" w:rsidP="006A2DA9">
      <w:pPr>
        <w:pStyle w:val="c01pointnumerotealtn"/>
        <w:spacing w:line="276" w:lineRule="auto"/>
        <w:rPr>
          <w:rFonts w:ascii="Arial" w:hAnsi="Arial" w:cs="Arial"/>
          <w:sz w:val="22"/>
          <w:szCs w:val="22"/>
        </w:rPr>
      </w:pPr>
      <w:bookmarkStart w:id="18" w:name="point18"/>
      <w:r w:rsidRPr="006A2DA9">
        <w:rPr>
          <w:rFonts w:ascii="Arial" w:hAnsi="Arial" w:cs="Arial"/>
          <w:sz w:val="22"/>
          <w:szCs w:val="22"/>
        </w:rPr>
        <w:t>18</w:t>
      </w:r>
      <w:bookmarkEnd w:id="18"/>
      <w:r w:rsidRPr="006A2DA9">
        <w:rPr>
          <w:rFonts w:ascii="Arial" w:hAnsi="Arial" w:cs="Arial"/>
          <w:sz w:val="22"/>
          <w:szCs w:val="22"/>
        </w:rPr>
        <w:t xml:space="preserve"> À luz do exposto, o </w:t>
      </w:r>
      <w:proofErr w:type="spellStart"/>
      <w:r w:rsidRPr="006A2DA9">
        <w:rPr>
          <w:rFonts w:ascii="Arial" w:hAnsi="Arial" w:cs="Arial"/>
          <w:sz w:val="22"/>
          <w:szCs w:val="22"/>
        </w:rPr>
        <w:t>Sąd</w:t>
      </w:r>
      <w:proofErr w:type="spellEnd"/>
      <w:r w:rsidRPr="006A2DA9">
        <w:rPr>
          <w:rFonts w:ascii="Arial" w:hAnsi="Arial" w:cs="Arial"/>
          <w:sz w:val="22"/>
          <w:szCs w:val="22"/>
        </w:rPr>
        <w:t xml:space="preserve"> </w:t>
      </w:r>
      <w:proofErr w:type="spellStart"/>
      <w:r w:rsidRPr="006A2DA9">
        <w:rPr>
          <w:rFonts w:ascii="Arial" w:hAnsi="Arial" w:cs="Arial"/>
          <w:sz w:val="22"/>
          <w:szCs w:val="22"/>
        </w:rPr>
        <w:t>Najwyższy</w:t>
      </w:r>
      <w:proofErr w:type="spellEnd"/>
      <w:r w:rsidRPr="006A2DA9">
        <w:rPr>
          <w:rFonts w:ascii="Arial" w:hAnsi="Arial" w:cs="Arial"/>
          <w:sz w:val="22"/>
          <w:szCs w:val="22"/>
        </w:rPr>
        <w:t xml:space="preserve"> decidiu suspender a instância e submeter ao Tribunal de Justiça as seguintes questões prejudiciais:</w:t>
      </w:r>
    </w:p>
    <w:p w:rsidR="006A2DA9" w:rsidRPr="006A2DA9" w:rsidRDefault="006A2DA9" w:rsidP="006A2DA9">
      <w:pPr>
        <w:pStyle w:val="c09marge0avecretrait"/>
        <w:spacing w:line="276" w:lineRule="auto"/>
        <w:rPr>
          <w:rFonts w:ascii="Arial" w:hAnsi="Arial" w:cs="Arial"/>
          <w:sz w:val="22"/>
          <w:szCs w:val="22"/>
        </w:rPr>
      </w:pPr>
      <w:r w:rsidRPr="006A2DA9">
        <w:rPr>
          <w:rFonts w:ascii="Arial" w:hAnsi="Arial" w:cs="Arial"/>
          <w:sz w:val="22"/>
          <w:szCs w:val="22"/>
        </w:rPr>
        <w:lastRenderedPageBreak/>
        <w:t xml:space="preserve">«1) Deve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ser interpretado no sentido de que a autoridade nacional da concorrência não pode </w:t>
      </w:r>
      <w:proofErr w:type="spellStart"/>
      <w:r w:rsidRPr="006A2DA9">
        <w:rPr>
          <w:rFonts w:ascii="Arial" w:hAnsi="Arial" w:cs="Arial"/>
          <w:sz w:val="22"/>
          <w:szCs w:val="22"/>
        </w:rPr>
        <w:t>adoptar</w:t>
      </w:r>
      <w:proofErr w:type="spellEnd"/>
      <w:r w:rsidRPr="006A2DA9">
        <w:rPr>
          <w:rFonts w:ascii="Arial" w:hAnsi="Arial" w:cs="Arial"/>
          <w:sz w:val="22"/>
          <w:szCs w:val="22"/>
        </w:rPr>
        <w:t xml:space="preserve"> uma decisão que conclua pela inexistência de uma prática restritiva da concorrência na </w:t>
      </w:r>
      <w:proofErr w:type="spellStart"/>
      <w:r w:rsidRPr="006A2DA9">
        <w:rPr>
          <w:rFonts w:ascii="Arial" w:hAnsi="Arial" w:cs="Arial"/>
          <w:sz w:val="22"/>
          <w:szCs w:val="22"/>
        </w:rPr>
        <w:t>acepção</w:t>
      </w:r>
      <w:proofErr w:type="spellEnd"/>
      <w:r w:rsidRPr="006A2DA9">
        <w:rPr>
          <w:rFonts w:ascii="Arial" w:hAnsi="Arial" w:cs="Arial"/>
          <w:sz w:val="22"/>
          <w:szCs w:val="22"/>
        </w:rPr>
        <w:t xml:space="preserve"> do artigo 82.° CE, quando considerar, no fim do procedimento, que a empresa não violou a proibição dos abusos de posição dominante que resulta desta disposição do Tratado?</w:t>
      </w:r>
    </w:p>
    <w:p w:rsidR="006A2DA9" w:rsidRPr="006A2DA9" w:rsidRDefault="006A2DA9" w:rsidP="006A2DA9">
      <w:pPr>
        <w:pStyle w:val="c09marge0avecretrait"/>
        <w:spacing w:line="276" w:lineRule="auto"/>
        <w:rPr>
          <w:rFonts w:ascii="Arial" w:hAnsi="Arial" w:cs="Arial"/>
          <w:sz w:val="22"/>
          <w:szCs w:val="22"/>
        </w:rPr>
      </w:pPr>
      <w:r w:rsidRPr="006A2DA9">
        <w:rPr>
          <w:rFonts w:ascii="Arial" w:hAnsi="Arial" w:cs="Arial"/>
          <w:sz w:val="22"/>
          <w:szCs w:val="22"/>
        </w:rPr>
        <w:t xml:space="preserve">2) Em caso de resposta afirmativa à primeira questão, na hipótese de as disposições do direito nacional da concorrência habilitarem a autoridade nacional da concorrência a encerrar um procedimento em matéria de repressão de práticas </w:t>
      </w:r>
      <w:proofErr w:type="spellStart"/>
      <w:r w:rsidRPr="006A2DA9">
        <w:rPr>
          <w:rFonts w:ascii="Arial" w:hAnsi="Arial" w:cs="Arial"/>
          <w:sz w:val="22"/>
          <w:szCs w:val="22"/>
        </w:rPr>
        <w:t>anticoncorrenciais</w:t>
      </w:r>
      <w:proofErr w:type="spellEnd"/>
      <w:r w:rsidRPr="006A2DA9">
        <w:rPr>
          <w:rFonts w:ascii="Arial" w:hAnsi="Arial" w:cs="Arial"/>
          <w:sz w:val="22"/>
          <w:szCs w:val="22"/>
        </w:rPr>
        <w:t xml:space="preserve"> – se </w:t>
      </w:r>
      <w:proofErr w:type="spellStart"/>
      <w:r w:rsidRPr="006A2DA9">
        <w:rPr>
          <w:rFonts w:ascii="Arial" w:hAnsi="Arial" w:cs="Arial"/>
          <w:sz w:val="22"/>
          <w:szCs w:val="22"/>
        </w:rPr>
        <w:t>se</w:t>
      </w:r>
      <w:proofErr w:type="spellEnd"/>
      <w:r w:rsidRPr="006A2DA9">
        <w:rPr>
          <w:rFonts w:ascii="Arial" w:hAnsi="Arial" w:cs="Arial"/>
          <w:sz w:val="22"/>
          <w:szCs w:val="22"/>
        </w:rPr>
        <w:t xml:space="preserve"> verificar que o comportamento da empresa não viola a proibição resultante do artigo 82.° CE – [unicamente através da </w:t>
      </w:r>
      <w:proofErr w:type="spellStart"/>
      <w:r w:rsidRPr="006A2DA9">
        <w:rPr>
          <w:rFonts w:ascii="Arial" w:hAnsi="Arial" w:cs="Arial"/>
          <w:sz w:val="22"/>
          <w:szCs w:val="22"/>
        </w:rPr>
        <w:t>adopção</w:t>
      </w:r>
      <w:proofErr w:type="spellEnd"/>
      <w:r w:rsidRPr="006A2DA9">
        <w:rPr>
          <w:rFonts w:ascii="Arial" w:hAnsi="Arial" w:cs="Arial"/>
          <w:sz w:val="22"/>
          <w:szCs w:val="22"/>
        </w:rPr>
        <w:t xml:space="preserve"> de] uma decisão que conclua pela inexistência de uma prática restritiva da concorrência, deve o artigo 5.°, [segundo parágrafo], do [regulamento] ser interpretado no sentido de que constitui a base jurídica </w:t>
      </w:r>
      <w:proofErr w:type="spellStart"/>
      <w:r w:rsidRPr="006A2DA9">
        <w:rPr>
          <w:rFonts w:ascii="Arial" w:hAnsi="Arial" w:cs="Arial"/>
          <w:sz w:val="22"/>
          <w:szCs w:val="22"/>
        </w:rPr>
        <w:t>directa</w:t>
      </w:r>
      <w:proofErr w:type="spellEnd"/>
      <w:r w:rsidRPr="006A2DA9">
        <w:rPr>
          <w:rFonts w:ascii="Arial" w:hAnsi="Arial" w:cs="Arial"/>
          <w:sz w:val="22"/>
          <w:szCs w:val="22"/>
        </w:rPr>
        <w:t xml:space="preserve"> para a </w:t>
      </w:r>
      <w:proofErr w:type="spellStart"/>
      <w:r w:rsidRPr="006A2DA9">
        <w:rPr>
          <w:rFonts w:ascii="Arial" w:hAnsi="Arial" w:cs="Arial"/>
          <w:sz w:val="22"/>
          <w:szCs w:val="22"/>
        </w:rPr>
        <w:t>adopção</w:t>
      </w:r>
      <w:proofErr w:type="spellEnd"/>
      <w:r w:rsidRPr="006A2DA9">
        <w:rPr>
          <w:rFonts w:ascii="Arial" w:hAnsi="Arial" w:cs="Arial"/>
          <w:sz w:val="22"/>
          <w:szCs w:val="22"/>
        </w:rPr>
        <w:t xml:space="preserve"> por esse órgão de uma decisão [que conclui] que não se justifica a sua intervenção?»</w:t>
      </w:r>
    </w:p>
    <w:p w:rsidR="006A2DA9" w:rsidRPr="006A2DA9" w:rsidRDefault="006A2DA9" w:rsidP="006A2DA9">
      <w:pPr>
        <w:pStyle w:val="c04titre1"/>
        <w:spacing w:line="276" w:lineRule="auto"/>
        <w:rPr>
          <w:rFonts w:ascii="Arial" w:hAnsi="Arial" w:cs="Arial"/>
          <w:sz w:val="22"/>
          <w:szCs w:val="22"/>
        </w:rPr>
      </w:pPr>
      <w:r w:rsidRPr="006A2DA9">
        <w:rPr>
          <w:rFonts w:ascii="Arial" w:hAnsi="Arial" w:cs="Arial"/>
          <w:sz w:val="22"/>
          <w:szCs w:val="22"/>
        </w:rPr>
        <w:t>Quanto às questões prejudiciais</w:t>
      </w:r>
    </w:p>
    <w:p w:rsidR="006A2DA9" w:rsidRPr="006A2DA9" w:rsidRDefault="006A2DA9" w:rsidP="006A2DA9">
      <w:pPr>
        <w:pStyle w:val="c05titre2"/>
        <w:spacing w:line="276" w:lineRule="auto"/>
        <w:rPr>
          <w:rFonts w:ascii="Arial" w:hAnsi="Arial" w:cs="Arial"/>
          <w:sz w:val="22"/>
          <w:szCs w:val="22"/>
        </w:rPr>
      </w:pPr>
      <w:r w:rsidRPr="006A2DA9">
        <w:rPr>
          <w:rFonts w:ascii="Arial" w:hAnsi="Arial" w:cs="Arial"/>
          <w:sz w:val="22"/>
          <w:szCs w:val="22"/>
        </w:rPr>
        <w:t>Quanto à primeira questão</w:t>
      </w:r>
    </w:p>
    <w:p w:rsidR="006A2DA9" w:rsidRPr="006A2DA9" w:rsidRDefault="006A2DA9" w:rsidP="006A2DA9">
      <w:pPr>
        <w:pStyle w:val="c01pointnumerotealtn"/>
        <w:spacing w:line="276" w:lineRule="auto"/>
        <w:rPr>
          <w:rFonts w:ascii="Arial" w:hAnsi="Arial" w:cs="Arial"/>
          <w:sz w:val="22"/>
          <w:szCs w:val="22"/>
        </w:rPr>
      </w:pPr>
      <w:bookmarkStart w:id="19" w:name="point19"/>
      <w:r w:rsidRPr="006A2DA9">
        <w:rPr>
          <w:rFonts w:ascii="Arial" w:hAnsi="Arial" w:cs="Arial"/>
          <w:sz w:val="22"/>
          <w:szCs w:val="22"/>
        </w:rPr>
        <w:t>19</w:t>
      </w:r>
      <w:bookmarkEnd w:id="19"/>
      <w:r w:rsidRPr="006A2DA9">
        <w:rPr>
          <w:rFonts w:ascii="Arial" w:hAnsi="Arial" w:cs="Arial"/>
          <w:sz w:val="22"/>
          <w:szCs w:val="22"/>
        </w:rPr>
        <w:t xml:space="preserve"> Com a sua primeira questão, o órgão jurisdicional de reenvio pergunta, no essencial, se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deve ser interpretado no sentido de que se opõe a que uma autoridade nacional da concorrência, quando, a fim de aplicar o artigo 102.° TFUE</w:t>
      </w:r>
      <w:proofErr w:type="gramStart"/>
      <w:r w:rsidRPr="006A2DA9">
        <w:rPr>
          <w:rFonts w:ascii="Arial" w:hAnsi="Arial" w:cs="Arial"/>
          <w:sz w:val="22"/>
          <w:szCs w:val="22"/>
        </w:rPr>
        <w:t>,</w:t>
      </w:r>
      <w:proofErr w:type="gramEnd"/>
      <w:r w:rsidRPr="006A2DA9">
        <w:rPr>
          <w:rFonts w:ascii="Arial" w:hAnsi="Arial" w:cs="Arial"/>
          <w:sz w:val="22"/>
          <w:szCs w:val="22"/>
        </w:rPr>
        <w:t xml:space="preserve"> verifica se estão preenchidas as condições de aplicação desse artigo e, após este exame, considera não ter ocorrido uma prática abusiva, possa tomar uma decisão que conclua pela inexistência de violação do referido artigo.</w:t>
      </w:r>
    </w:p>
    <w:p w:rsidR="006A2DA9" w:rsidRPr="006A2DA9" w:rsidRDefault="006A2DA9" w:rsidP="006A2DA9">
      <w:pPr>
        <w:pStyle w:val="c01pointnumerotealtn"/>
        <w:spacing w:line="276" w:lineRule="auto"/>
        <w:rPr>
          <w:rFonts w:ascii="Arial" w:hAnsi="Arial" w:cs="Arial"/>
          <w:sz w:val="22"/>
          <w:szCs w:val="22"/>
        </w:rPr>
      </w:pPr>
      <w:bookmarkStart w:id="20" w:name="point20"/>
      <w:r w:rsidRPr="006A2DA9">
        <w:rPr>
          <w:rFonts w:ascii="Arial" w:hAnsi="Arial" w:cs="Arial"/>
          <w:sz w:val="22"/>
          <w:szCs w:val="22"/>
        </w:rPr>
        <w:t>20</w:t>
      </w:r>
      <w:bookmarkEnd w:id="20"/>
      <w:r w:rsidRPr="006A2DA9">
        <w:rPr>
          <w:rFonts w:ascii="Arial" w:hAnsi="Arial" w:cs="Arial"/>
          <w:sz w:val="22"/>
          <w:szCs w:val="22"/>
        </w:rPr>
        <w:t xml:space="preserve"> Cabe referir desde logo que, nos termos do artigo 3.°, </w:t>
      </w:r>
      <w:proofErr w:type="spellStart"/>
      <w:proofErr w:type="gramStart"/>
      <w:r w:rsidRPr="006A2DA9">
        <w:rPr>
          <w:rFonts w:ascii="Arial" w:hAnsi="Arial" w:cs="Arial"/>
          <w:sz w:val="22"/>
          <w:szCs w:val="22"/>
        </w:rPr>
        <w:t>n</w:t>
      </w:r>
      <w:proofErr w:type="gramEnd"/>
      <w:r w:rsidRPr="006A2DA9">
        <w:rPr>
          <w:rFonts w:ascii="Arial" w:hAnsi="Arial" w:cs="Arial"/>
          <w:sz w:val="22"/>
          <w:szCs w:val="22"/>
        </w:rPr>
        <w:t>.°</w:t>
      </w:r>
      <w:proofErr w:type="spellEnd"/>
      <w:r w:rsidRPr="006A2DA9">
        <w:rPr>
          <w:rFonts w:ascii="Arial" w:hAnsi="Arial" w:cs="Arial"/>
          <w:sz w:val="22"/>
          <w:szCs w:val="22"/>
        </w:rPr>
        <w:t xml:space="preserve"> 1, do regulamento, sempre que as autoridades nacionais da concorrência apliquem a legislação nacional em matéria de concorrência a uma prática abusiva de uma empresa com uma posição dominante no mercado, </w:t>
      </w:r>
      <w:proofErr w:type="spellStart"/>
      <w:r w:rsidRPr="006A2DA9">
        <w:rPr>
          <w:rFonts w:ascii="Arial" w:hAnsi="Arial" w:cs="Arial"/>
          <w:sz w:val="22"/>
          <w:szCs w:val="22"/>
        </w:rPr>
        <w:t>susceptível</w:t>
      </w:r>
      <w:proofErr w:type="spellEnd"/>
      <w:r w:rsidRPr="006A2DA9">
        <w:rPr>
          <w:rFonts w:ascii="Arial" w:hAnsi="Arial" w:cs="Arial"/>
          <w:sz w:val="22"/>
          <w:szCs w:val="22"/>
        </w:rPr>
        <w:t xml:space="preserve"> de </w:t>
      </w:r>
      <w:proofErr w:type="spellStart"/>
      <w:r w:rsidRPr="006A2DA9">
        <w:rPr>
          <w:rFonts w:ascii="Arial" w:hAnsi="Arial" w:cs="Arial"/>
          <w:sz w:val="22"/>
          <w:szCs w:val="22"/>
        </w:rPr>
        <w:t>afectar</w:t>
      </w:r>
      <w:proofErr w:type="spellEnd"/>
      <w:r w:rsidRPr="006A2DA9">
        <w:rPr>
          <w:rFonts w:ascii="Arial" w:hAnsi="Arial" w:cs="Arial"/>
          <w:sz w:val="22"/>
          <w:szCs w:val="22"/>
        </w:rPr>
        <w:t xml:space="preserve"> o comércio entre os Estados</w:t>
      </w:r>
      <w:r w:rsidRPr="006A2DA9">
        <w:rPr>
          <w:rFonts w:ascii="Arial" w:hAnsi="Arial" w:cs="Arial"/>
          <w:sz w:val="22"/>
          <w:szCs w:val="22"/>
        </w:rPr>
        <w:noBreakHyphen/>
        <w:t>Membros, devem igualmente aplicar o artigo 102.° TFUE.</w:t>
      </w:r>
    </w:p>
    <w:p w:rsidR="006A2DA9" w:rsidRPr="006A2DA9" w:rsidRDefault="006A2DA9" w:rsidP="006A2DA9">
      <w:pPr>
        <w:pStyle w:val="c01pointnumerotealtn"/>
        <w:spacing w:line="276" w:lineRule="auto"/>
        <w:rPr>
          <w:rFonts w:ascii="Arial" w:hAnsi="Arial" w:cs="Arial"/>
          <w:sz w:val="22"/>
          <w:szCs w:val="22"/>
        </w:rPr>
      </w:pPr>
      <w:bookmarkStart w:id="21" w:name="point21"/>
      <w:r w:rsidRPr="006A2DA9">
        <w:rPr>
          <w:rFonts w:ascii="Arial" w:hAnsi="Arial" w:cs="Arial"/>
          <w:sz w:val="22"/>
          <w:szCs w:val="22"/>
        </w:rPr>
        <w:t>21</w:t>
      </w:r>
      <w:bookmarkEnd w:id="21"/>
      <w:r w:rsidRPr="006A2DA9">
        <w:rPr>
          <w:rFonts w:ascii="Arial" w:hAnsi="Arial" w:cs="Arial"/>
          <w:sz w:val="22"/>
          <w:szCs w:val="22"/>
        </w:rPr>
        <w:t xml:space="preserve"> O artigo 5.°, </w:t>
      </w:r>
      <w:proofErr w:type="gramStart"/>
      <w:r w:rsidRPr="006A2DA9">
        <w:rPr>
          <w:rFonts w:ascii="Arial" w:hAnsi="Arial" w:cs="Arial"/>
          <w:sz w:val="22"/>
          <w:szCs w:val="22"/>
        </w:rPr>
        <w:t>primeiro</w:t>
      </w:r>
      <w:proofErr w:type="gramEnd"/>
      <w:r w:rsidRPr="006A2DA9">
        <w:rPr>
          <w:rFonts w:ascii="Arial" w:hAnsi="Arial" w:cs="Arial"/>
          <w:sz w:val="22"/>
          <w:szCs w:val="22"/>
        </w:rPr>
        <w:t xml:space="preserve"> parágrafo, do regulamento precisa a competência das autoridades dos Estados</w:t>
      </w:r>
      <w:r w:rsidRPr="006A2DA9">
        <w:rPr>
          <w:rFonts w:ascii="Arial" w:hAnsi="Arial" w:cs="Arial"/>
          <w:sz w:val="22"/>
          <w:szCs w:val="22"/>
        </w:rPr>
        <w:noBreakHyphen/>
        <w:t xml:space="preserve">Membros responsáveis em matéria de concorrência, para aplicar os artigos 101.° TFUE e 102.° TFUE em processos individuais. De acordo com estas disposições, essas autoridades, ao decidirem sobre o mérito, podem, oficiosamente ou na sequência de denúncia, tomar as seguintes decisões: exigir que seja posto termo à </w:t>
      </w:r>
      <w:proofErr w:type="spellStart"/>
      <w:r w:rsidRPr="006A2DA9">
        <w:rPr>
          <w:rFonts w:ascii="Arial" w:hAnsi="Arial" w:cs="Arial"/>
          <w:sz w:val="22"/>
          <w:szCs w:val="22"/>
        </w:rPr>
        <w:t>infracção</w:t>
      </w:r>
      <w:proofErr w:type="spellEnd"/>
      <w:r w:rsidRPr="006A2DA9">
        <w:rPr>
          <w:rFonts w:ascii="Arial" w:hAnsi="Arial" w:cs="Arial"/>
          <w:sz w:val="22"/>
          <w:szCs w:val="22"/>
        </w:rPr>
        <w:t xml:space="preserve">, ordenar medidas provisórias, aceitar compromissos e aplicar coimas, sanções pecuniárias compulsórias ou qualquer outra sanção prevista pelo </w:t>
      </w:r>
      <w:proofErr w:type="spellStart"/>
      <w:r w:rsidRPr="006A2DA9">
        <w:rPr>
          <w:rFonts w:ascii="Arial" w:hAnsi="Arial" w:cs="Arial"/>
          <w:sz w:val="22"/>
          <w:szCs w:val="22"/>
        </w:rPr>
        <w:t>respectivo</w:t>
      </w:r>
      <w:proofErr w:type="spellEnd"/>
      <w:r w:rsidRPr="006A2DA9">
        <w:rPr>
          <w:rFonts w:ascii="Arial" w:hAnsi="Arial" w:cs="Arial"/>
          <w:sz w:val="22"/>
          <w:szCs w:val="22"/>
        </w:rPr>
        <w:t xml:space="preserve"> direito nacional.</w:t>
      </w:r>
    </w:p>
    <w:p w:rsidR="006A2DA9" w:rsidRPr="006A2DA9" w:rsidRDefault="006A2DA9" w:rsidP="006A2DA9">
      <w:pPr>
        <w:pStyle w:val="c01pointnumerotealtn"/>
        <w:spacing w:line="276" w:lineRule="auto"/>
        <w:rPr>
          <w:rFonts w:ascii="Arial" w:hAnsi="Arial" w:cs="Arial"/>
          <w:sz w:val="22"/>
          <w:szCs w:val="22"/>
        </w:rPr>
      </w:pPr>
      <w:bookmarkStart w:id="22" w:name="point22"/>
      <w:r w:rsidRPr="006A2DA9">
        <w:rPr>
          <w:rFonts w:ascii="Arial" w:hAnsi="Arial" w:cs="Arial"/>
          <w:sz w:val="22"/>
          <w:szCs w:val="22"/>
        </w:rPr>
        <w:t>22</w:t>
      </w:r>
      <w:bookmarkEnd w:id="22"/>
      <w:r w:rsidRPr="006A2DA9">
        <w:rPr>
          <w:rFonts w:ascii="Arial" w:hAnsi="Arial" w:cs="Arial"/>
          <w:sz w:val="22"/>
          <w:szCs w:val="22"/>
        </w:rPr>
        <w:t xml:space="preserve"> De acordo com o disposto no artigo 5.°, </w:t>
      </w:r>
      <w:proofErr w:type="gramStart"/>
      <w:r w:rsidRPr="006A2DA9">
        <w:rPr>
          <w:rFonts w:ascii="Arial" w:hAnsi="Arial" w:cs="Arial"/>
          <w:sz w:val="22"/>
          <w:szCs w:val="22"/>
        </w:rPr>
        <w:t>segundo</w:t>
      </w:r>
      <w:proofErr w:type="gramEnd"/>
      <w:r w:rsidRPr="006A2DA9">
        <w:rPr>
          <w:rFonts w:ascii="Arial" w:hAnsi="Arial" w:cs="Arial"/>
          <w:sz w:val="22"/>
          <w:szCs w:val="22"/>
        </w:rPr>
        <w:t xml:space="preserve"> parágrafo, do regulamento, sempre que, com base nas informações de que dispõem, não estejam </w:t>
      </w:r>
      <w:r w:rsidRPr="006A2DA9">
        <w:rPr>
          <w:rFonts w:ascii="Arial" w:hAnsi="Arial" w:cs="Arial"/>
          <w:sz w:val="22"/>
          <w:szCs w:val="22"/>
        </w:rPr>
        <w:lastRenderedPageBreak/>
        <w:t>preenchidas as condições de proibição, as autoridades nacionais da concorrência podem igualmente decidir que não se justifica a sua intervenção.</w:t>
      </w:r>
    </w:p>
    <w:p w:rsidR="006A2DA9" w:rsidRPr="006A2DA9" w:rsidRDefault="006A2DA9" w:rsidP="006A2DA9">
      <w:pPr>
        <w:pStyle w:val="c01pointnumerotealtn"/>
        <w:spacing w:line="276" w:lineRule="auto"/>
        <w:rPr>
          <w:rFonts w:ascii="Arial" w:hAnsi="Arial" w:cs="Arial"/>
          <w:sz w:val="22"/>
          <w:szCs w:val="22"/>
        </w:rPr>
      </w:pPr>
      <w:bookmarkStart w:id="23" w:name="point23"/>
      <w:r w:rsidRPr="006A2DA9">
        <w:rPr>
          <w:rFonts w:ascii="Arial" w:hAnsi="Arial" w:cs="Arial"/>
          <w:sz w:val="22"/>
          <w:szCs w:val="22"/>
        </w:rPr>
        <w:t>23</w:t>
      </w:r>
      <w:bookmarkEnd w:id="23"/>
      <w:r w:rsidRPr="006A2DA9">
        <w:rPr>
          <w:rFonts w:ascii="Arial" w:hAnsi="Arial" w:cs="Arial"/>
          <w:sz w:val="22"/>
          <w:szCs w:val="22"/>
        </w:rPr>
        <w:t xml:space="preserve"> A </w:t>
      </w:r>
      <w:proofErr w:type="spellStart"/>
      <w:r w:rsidRPr="006A2DA9">
        <w:rPr>
          <w:rFonts w:ascii="Arial" w:hAnsi="Arial" w:cs="Arial"/>
          <w:sz w:val="22"/>
          <w:szCs w:val="22"/>
        </w:rPr>
        <w:t>redacção</w:t>
      </w:r>
      <w:proofErr w:type="spellEnd"/>
      <w:r w:rsidRPr="006A2DA9">
        <w:rPr>
          <w:rFonts w:ascii="Arial" w:hAnsi="Arial" w:cs="Arial"/>
          <w:sz w:val="22"/>
          <w:szCs w:val="22"/>
        </w:rPr>
        <w:t xml:space="preserve"> desta última disposição indica claramente que, numa situação como esta, a competência da autoridade nacional da concorrência está limitada à </w:t>
      </w:r>
      <w:proofErr w:type="spellStart"/>
      <w:r w:rsidRPr="006A2DA9">
        <w:rPr>
          <w:rFonts w:ascii="Arial" w:hAnsi="Arial" w:cs="Arial"/>
          <w:sz w:val="22"/>
          <w:szCs w:val="22"/>
        </w:rPr>
        <w:t>adopção</w:t>
      </w:r>
      <w:proofErr w:type="spellEnd"/>
      <w:r w:rsidRPr="006A2DA9">
        <w:rPr>
          <w:rFonts w:ascii="Arial" w:hAnsi="Arial" w:cs="Arial"/>
          <w:sz w:val="22"/>
          <w:szCs w:val="22"/>
        </w:rPr>
        <w:t xml:space="preserve"> de uma decisão que declare não haver justificação para intervir.</w:t>
      </w:r>
    </w:p>
    <w:p w:rsidR="006A2DA9" w:rsidRPr="006A2DA9" w:rsidRDefault="006A2DA9" w:rsidP="006A2DA9">
      <w:pPr>
        <w:pStyle w:val="c01pointnumerotealtn"/>
        <w:spacing w:line="276" w:lineRule="auto"/>
        <w:rPr>
          <w:rFonts w:ascii="Arial" w:hAnsi="Arial" w:cs="Arial"/>
          <w:sz w:val="22"/>
          <w:szCs w:val="22"/>
        </w:rPr>
      </w:pPr>
      <w:bookmarkStart w:id="24" w:name="point24"/>
      <w:r w:rsidRPr="006A2DA9">
        <w:rPr>
          <w:rFonts w:ascii="Arial" w:hAnsi="Arial" w:cs="Arial"/>
          <w:sz w:val="22"/>
          <w:szCs w:val="22"/>
        </w:rPr>
        <w:t>24</w:t>
      </w:r>
      <w:bookmarkEnd w:id="24"/>
      <w:r w:rsidRPr="006A2DA9">
        <w:rPr>
          <w:rFonts w:ascii="Arial" w:hAnsi="Arial" w:cs="Arial"/>
          <w:sz w:val="22"/>
          <w:szCs w:val="22"/>
        </w:rPr>
        <w:t xml:space="preserve"> Esta limitação do poder das autoridades nacionais da concorrência é corroborada pela determinação do poder decisório da Comissão no caso de inexistência de violação dos artigos 101.° TFUE e 102.° TFUE. De acordo com o disposto no artigo 10.°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a Comissão pode declarar, através de decisão, que os artigos 81.° CE e 82.° </w:t>
      </w:r>
      <w:proofErr w:type="gramStart"/>
      <w:r w:rsidRPr="006A2DA9">
        <w:rPr>
          <w:rFonts w:ascii="Arial" w:hAnsi="Arial" w:cs="Arial"/>
          <w:sz w:val="22"/>
          <w:szCs w:val="22"/>
        </w:rPr>
        <w:t>CE não são aplicáveis</w:t>
      </w:r>
      <w:proofErr w:type="gramEnd"/>
      <w:r w:rsidRPr="006A2DA9">
        <w:rPr>
          <w:rFonts w:ascii="Arial" w:hAnsi="Arial" w:cs="Arial"/>
          <w:sz w:val="22"/>
          <w:szCs w:val="22"/>
        </w:rPr>
        <w:t>.</w:t>
      </w:r>
    </w:p>
    <w:p w:rsidR="006A2DA9" w:rsidRPr="006A2DA9" w:rsidRDefault="006A2DA9" w:rsidP="006A2DA9">
      <w:pPr>
        <w:pStyle w:val="c01pointnumerotealtn"/>
        <w:spacing w:line="276" w:lineRule="auto"/>
        <w:rPr>
          <w:rFonts w:ascii="Arial" w:hAnsi="Arial" w:cs="Arial"/>
          <w:sz w:val="22"/>
          <w:szCs w:val="22"/>
        </w:rPr>
      </w:pPr>
      <w:bookmarkStart w:id="25" w:name="point25"/>
      <w:r w:rsidRPr="006A2DA9">
        <w:rPr>
          <w:rFonts w:ascii="Arial" w:hAnsi="Arial" w:cs="Arial"/>
          <w:sz w:val="22"/>
          <w:szCs w:val="22"/>
        </w:rPr>
        <w:t>25</w:t>
      </w:r>
      <w:bookmarkEnd w:id="25"/>
      <w:r w:rsidRPr="006A2DA9">
        <w:rPr>
          <w:rFonts w:ascii="Arial" w:hAnsi="Arial" w:cs="Arial"/>
          <w:sz w:val="22"/>
          <w:szCs w:val="22"/>
        </w:rPr>
        <w:t xml:space="preserve"> O décimo quarto considerando do regulamento indica que essa decisão de carácter declaratório da Comissão pode ser </w:t>
      </w:r>
      <w:proofErr w:type="spellStart"/>
      <w:r w:rsidRPr="006A2DA9">
        <w:rPr>
          <w:rFonts w:ascii="Arial" w:hAnsi="Arial" w:cs="Arial"/>
          <w:sz w:val="22"/>
          <w:szCs w:val="22"/>
        </w:rPr>
        <w:t>adoptada</w:t>
      </w:r>
      <w:proofErr w:type="spellEnd"/>
      <w:r w:rsidRPr="006A2DA9">
        <w:rPr>
          <w:rFonts w:ascii="Arial" w:hAnsi="Arial" w:cs="Arial"/>
          <w:sz w:val="22"/>
          <w:szCs w:val="22"/>
        </w:rPr>
        <w:t xml:space="preserve"> «em casos </w:t>
      </w:r>
      <w:proofErr w:type="spellStart"/>
      <w:r w:rsidRPr="006A2DA9">
        <w:rPr>
          <w:rFonts w:ascii="Arial" w:hAnsi="Arial" w:cs="Arial"/>
          <w:sz w:val="22"/>
          <w:szCs w:val="22"/>
        </w:rPr>
        <w:t>excepcionais</w:t>
      </w:r>
      <w:proofErr w:type="spellEnd"/>
      <w:r w:rsidRPr="006A2DA9">
        <w:rPr>
          <w:rFonts w:ascii="Arial" w:hAnsi="Arial" w:cs="Arial"/>
          <w:sz w:val="22"/>
          <w:szCs w:val="22"/>
        </w:rPr>
        <w:t xml:space="preserve">». O </w:t>
      </w:r>
      <w:proofErr w:type="spellStart"/>
      <w:r w:rsidRPr="006A2DA9">
        <w:rPr>
          <w:rFonts w:ascii="Arial" w:hAnsi="Arial" w:cs="Arial"/>
          <w:sz w:val="22"/>
          <w:szCs w:val="22"/>
        </w:rPr>
        <w:t>objectivo</w:t>
      </w:r>
      <w:proofErr w:type="spellEnd"/>
      <w:r w:rsidRPr="006A2DA9">
        <w:rPr>
          <w:rFonts w:ascii="Arial" w:hAnsi="Arial" w:cs="Arial"/>
          <w:sz w:val="22"/>
          <w:szCs w:val="22"/>
        </w:rPr>
        <w:t xml:space="preserve"> desta intervenção, nos termos do referido considerando, é «clarificar a legislação e assegurar a sua aplicação coerente na [União], especialmente no que se refere a novos tipos de acordos ou práticas que não estejam consagrados na jurisprudência existente, nem na prática administrativa».</w:t>
      </w:r>
    </w:p>
    <w:p w:rsidR="006A2DA9" w:rsidRPr="006A2DA9" w:rsidRDefault="006A2DA9" w:rsidP="006A2DA9">
      <w:pPr>
        <w:pStyle w:val="c01pointnumerotealtn"/>
        <w:spacing w:line="276" w:lineRule="auto"/>
        <w:rPr>
          <w:rFonts w:ascii="Arial" w:hAnsi="Arial" w:cs="Arial"/>
          <w:sz w:val="22"/>
          <w:szCs w:val="22"/>
        </w:rPr>
      </w:pPr>
      <w:bookmarkStart w:id="26" w:name="point26"/>
      <w:r w:rsidRPr="006A2DA9">
        <w:rPr>
          <w:rFonts w:ascii="Arial" w:hAnsi="Arial" w:cs="Arial"/>
          <w:sz w:val="22"/>
          <w:szCs w:val="22"/>
        </w:rPr>
        <w:t>26</w:t>
      </w:r>
      <w:bookmarkEnd w:id="26"/>
      <w:r w:rsidRPr="006A2DA9">
        <w:rPr>
          <w:rFonts w:ascii="Arial" w:hAnsi="Arial" w:cs="Arial"/>
          <w:sz w:val="22"/>
          <w:szCs w:val="22"/>
        </w:rPr>
        <w:t xml:space="preserve"> Além disso, o Tribunal de Justiça declarou que, a fim de garantir uma aplicação coerente das regras de concorrência nos Estados</w:t>
      </w:r>
      <w:r w:rsidRPr="006A2DA9">
        <w:rPr>
          <w:rFonts w:ascii="Arial" w:hAnsi="Arial" w:cs="Arial"/>
          <w:sz w:val="22"/>
          <w:szCs w:val="22"/>
        </w:rPr>
        <w:noBreakHyphen/>
        <w:t>Membros, foi instaurado pelo regulamento um mecanismo de cooperação entre a Comissão e as autoridades nacionais da concorrência, no âmbito do princípio geral da cooperação leal (v., neste sentido, acórdão de 11 de Junho de 2009, X, C</w:t>
      </w:r>
      <w:r w:rsidRPr="006A2DA9">
        <w:rPr>
          <w:rFonts w:ascii="Arial" w:hAnsi="Arial" w:cs="Arial"/>
          <w:sz w:val="22"/>
          <w:szCs w:val="22"/>
        </w:rPr>
        <w:noBreakHyphen/>
        <w:t xml:space="preserve">429/07, </w:t>
      </w:r>
      <w:proofErr w:type="spellStart"/>
      <w:r w:rsidRPr="006A2DA9">
        <w:rPr>
          <w:rFonts w:ascii="Arial" w:hAnsi="Arial" w:cs="Arial"/>
          <w:sz w:val="22"/>
          <w:szCs w:val="22"/>
        </w:rPr>
        <w:t>Colect</w:t>
      </w:r>
      <w:proofErr w:type="spellEnd"/>
      <w:r w:rsidRPr="006A2DA9">
        <w:rPr>
          <w:rFonts w:ascii="Arial" w:hAnsi="Arial" w:cs="Arial"/>
          <w:sz w:val="22"/>
          <w:szCs w:val="22"/>
        </w:rPr>
        <w:t>., p. I</w:t>
      </w:r>
      <w:r w:rsidRPr="006A2DA9">
        <w:rPr>
          <w:rFonts w:ascii="Arial" w:hAnsi="Arial" w:cs="Arial"/>
          <w:sz w:val="22"/>
          <w:szCs w:val="22"/>
        </w:rPr>
        <w:noBreakHyphen/>
        <w:t xml:space="preserve">4833, </w:t>
      </w:r>
      <w:proofErr w:type="spellStart"/>
      <w:r w:rsidRPr="006A2DA9">
        <w:rPr>
          <w:rFonts w:ascii="Arial" w:hAnsi="Arial" w:cs="Arial"/>
          <w:sz w:val="22"/>
          <w:szCs w:val="22"/>
        </w:rPr>
        <w:t>n.</w:t>
      </w:r>
      <w:r w:rsidRPr="006A2DA9">
        <w:rPr>
          <w:rFonts w:ascii="Arial" w:hAnsi="Arial" w:cs="Arial"/>
          <w:sz w:val="22"/>
          <w:szCs w:val="22"/>
          <w:vertAlign w:val="superscript"/>
        </w:rPr>
        <w:t>os</w:t>
      </w:r>
      <w:proofErr w:type="spellEnd"/>
      <w:r w:rsidRPr="006A2DA9">
        <w:rPr>
          <w:rFonts w:ascii="Arial" w:hAnsi="Arial" w:cs="Arial"/>
          <w:sz w:val="22"/>
          <w:szCs w:val="22"/>
        </w:rPr>
        <w:t xml:space="preserve"> 20 e 21).</w:t>
      </w:r>
    </w:p>
    <w:p w:rsidR="006A2DA9" w:rsidRPr="006A2DA9" w:rsidRDefault="006A2DA9" w:rsidP="006A2DA9">
      <w:pPr>
        <w:pStyle w:val="c01pointnumerotealtn"/>
        <w:spacing w:line="276" w:lineRule="auto"/>
        <w:rPr>
          <w:rFonts w:ascii="Arial" w:hAnsi="Arial" w:cs="Arial"/>
          <w:sz w:val="22"/>
          <w:szCs w:val="22"/>
        </w:rPr>
      </w:pPr>
      <w:bookmarkStart w:id="27" w:name="point27"/>
      <w:r w:rsidRPr="006A2DA9">
        <w:rPr>
          <w:rFonts w:ascii="Arial" w:hAnsi="Arial" w:cs="Arial"/>
          <w:sz w:val="22"/>
          <w:szCs w:val="22"/>
        </w:rPr>
        <w:t>27</w:t>
      </w:r>
      <w:bookmarkEnd w:id="27"/>
      <w:r w:rsidRPr="006A2DA9">
        <w:rPr>
          <w:rFonts w:ascii="Arial" w:hAnsi="Arial" w:cs="Arial"/>
          <w:sz w:val="22"/>
          <w:szCs w:val="22"/>
        </w:rPr>
        <w:t xml:space="preserve"> O facto de autorizar as autoridades nacionais da concorrência a tomar decisões nas quais se declare a inexistência de violação do artigo 102.° TFUE poria em causa o sistema de cooperação instituído pelo regulamento e </w:t>
      </w:r>
      <w:proofErr w:type="spellStart"/>
      <w:r w:rsidRPr="006A2DA9">
        <w:rPr>
          <w:rFonts w:ascii="Arial" w:hAnsi="Arial" w:cs="Arial"/>
          <w:sz w:val="22"/>
          <w:szCs w:val="22"/>
        </w:rPr>
        <w:t>afectaria</w:t>
      </w:r>
      <w:proofErr w:type="spellEnd"/>
      <w:r w:rsidRPr="006A2DA9">
        <w:rPr>
          <w:rFonts w:ascii="Arial" w:hAnsi="Arial" w:cs="Arial"/>
          <w:sz w:val="22"/>
          <w:szCs w:val="22"/>
        </w:rPr>
        <w:t xml:space="preserve"> a competência da Comissão.</w:t>
      </w:r>
    </w:p>
    <w:p w:rsidR="006A2DA9" w:rsidRPr="006A2DA9" w:rsidRDefault="006A2DA9" w:rsidP="006A2DA9">
      <w:pPr>
        <w:pStyle w:val="c01pointnumerotealtn"/>
        <w:spacing w:line="276" w:lineRule="auto"/>
        <w:rPr>
          <w:rFonts w:ascii="Arial" w:hAnsi="Arial" w:cs="Arial"/>
          <w:sz w:val="22"/>
          <w:szCs w:val="22"/>
        </w:rPr>
      </w:pPr>
      <w:bookmarkStart w:id="28" w:name="point28"/>
      <w:r w:rsidRPr="006A2DA9">
        <w:rPr>
          <w:rFonts w:ascii="Arial" w:hAnsi="Arial" w:cs="Arial"/>
          <w:sz w:val="22"/>
          <w:szCs w:val="22"/>
        </w:rPr>
        <w:t>28</w:t>
      </w:r>
      <w:bookmarkEnd w:id="28"/>
      <w:r w:rsidRPr="006A2DA9">
        <w:rPr>
          <w:rFonts w:ascii="Arial" w:hAnsi="Arial" w:cs="Arial"/>
          <w:sz w:val="22"/>
          <w:szCs w:val="22"/>
        </w:rPr>
        <w:t xml:space="preserve"> Com efeito, tal decisão «negativa» sobre o mérito poderia prejudicar a aplicação uniforme dos artigos 101.° TFUE e 102.° TFUE, que é um dos </w:t>
      </w:r>
      <w:proofErr w:type="spellStart"/>
      <w:r w:rsidRPr="006A2DA9">
        <w:rPr>
          <w:rFonts w:ascii="Arial" w:hAnsi="Arial" w:cs="Arial"/>
          <w:sz w:val="22"/>
          <w:szCs w:val="22"/>
        </w:rPr>
        <w:t>objectivos</w:t>
      </w:r>
      <w:proofErr w:type="spellEnd"/>
      <w:r w:rsidRPr="006A2DA9">
        <w:rPr>
          <w:rFonts w:ascii="Arial" w:hAnsi="Arial" w:cs="Arial"/>
          <w:sz w:val="22"/>
          <w:szCs w:val="22"/>
        </w:rPr>
        <w:t xml:space="preserve"> do regulamento realçado no seu primeiro considerando, uma vez que poderia impedir a Comissão de concluir posteriormente que a prática em causa constitui uma violação das disposições do direito da União.</w:t>
      </w:r>
    </w:p>
    <w:p w:rsidR="006A2DA9" w:rsidRPr="006A2DA9" w:rsidRDefault="006A2DA9" w:rsidP="006A2DA9">
      <w:pPr>
        <w:pStyle w:val="c01pointnumerotealtn"/>
        <w:spacing w:line="276" w:lineRule="auto"/>
        <w:rPr>
          <w:rFonts w:ascii="Arial" w:hAnsi="Arial" w:cs="Arial"/>
          <w:sz w:val="22"/>
          <w:szCs w:val="22"/>
        </w:rPr>
      </w:pPr>
      <w:bookmarkStart w:id="29" w:name="point29"/>
      <w:r w:rsidRPr="006A2DA9">
        <w:rPr>
          <w:rFonts w:ascii="Arial" w:hAnsi="Arial" w:cs="Arial"/>
          <w:sz w:val="22"/>
          <w:szCs w:val="22"/>
        </w:rPr>
        <w:t>29</w:t>
      </w:r>
      <w:bookmarkEnd w:id="29"/>
      <w:r w:rsidRPr="006A2DA9">
        <w:rPr>
          <w:rFonts w:ascii="Arial" w:hAnsi="Arial" w:cs="Arial"/>
          <w:sz w:val="22"/>
          <w:szCs w:val="22"/>
        </w:rPr>
        <w:t xml:space="preserve"> Por conseguinte, resulta tanto da </w:t>
      </w:r>
      <w:proofErr w:type="spellStart"/>
      <w:r w:rsidRPr="006A2DA9">
        <w:rPr>
          <w:rFonts w:ascii="Arial" w:hAnsi="Arial" w:cs="Arial"/>
          <w:sz w:val="22"/>
          <w:szCs w:val="22"/>
        </w:rPr>
        <w:t>redacção</w:t>
      </w:r>
      <w:proofErr w:type="spellEnd"/>
      <w:r w:rsidRPr="006A2DA9">
        <w:rPr>
          <w:rFonts w:ascii="Arial" w:hAnsi="Arial" w:cs="Arial"/>
          <w:sz w:val="22"/>
          <w:szCs w:val="22"/>
        </w:rPr>
        <w:t xml:space="preserve"> e da economia do regulamento como do </w:t>
      </w:r>
      <w:proofErr w:type="spellStart"/>
      <w:r w:rsidRPr="006A2DA9">
        <w:rPr>
          <w:rFonts w:ascii="Arial" w:hAnsi="Arial" w:cs="Arial"/>
          <w:sz w:val="22"/>
          <w:szCs w:val="22"/>
        </w:rPr>
        <w:t>objectivo</w:t>
      </w:r>
      <w:proofErr w:type="spellEnd"/>
      <w:r w:rsidRPr="006A2DA9">
        <w:rPr>
          <w:rFonts w:ascii="Arial" w:hAnsi="Arial" w:cs="Arial"/>
          <w:sz w:val="22"/>
          <w:szCs w:val="22"/>
        </w:rPr>
        <w:t xml:space="preserve"> por este prosseguido que as declarações de inexistência de violação do artigo 102.° TFUE são da competência exclusiva da Comissão, mesmo que este artigo seja aplicado num processo conduzido por uma autoridade nacional da concorrência.</w:t>
      </w:r>
    </w:p>
    <w:p w:rsidR="006A2DA9" w:rsidRPr="006A2DA9" w:rsidRDefault="006A2DA9" w:rsidP="006A2DA9">
      <w:pPr>
        <w:pStyle w:val="c01pointnumerotealtn"/>
        <w:spacing w:line="276" w:lineRule="auto"/>
        <w:rPr>
          <w:rFonts w:ascii="Arial" w:hAnsi="Arial" w:cs="Arial"/>
          <w:sz w:val="22"/>
          <w:szCs w:val="22"/>
        </w:rPr>
      </w:pPr>
      <w:bookmarkStart w:id="30" w:name="point30"/>
      <w:r w:rsidRPr="006A2DA9">
        <w:rPr>
          <w:rFonts w:ascii="Arial" w:hAnsi="Arial" w:cs="Arial"/>
          <w:sz w:val="22"/>
          <w:szCs w:val="22"/>
        </w:rPr>
        <w:t>30</w:t>
      </w:r>
      <w:bookmarkEnd w:id="30"/>
      <w:r w:rsidRPr="006A2DA9">
        <w:rPr>
          <w:rFonts w:ascii="Arial" w:hAnsi="Arial" w:cs="Arial"/>
          <w:sz w:val="22"/>
          <w:szCs w:val="22"/>
        </w:rPr>
        <w:t xml:space="preserve"> Por consequência, importa responder à primeira questão que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deve ser interpretado no sentido de que se opõe a que uma autoridade nacional da concorrência possa tomar uma decisão que conclua pela inexistência de violação do artigo 102.° TFUE, quando, a fim de aplicar o referido </w:t>
      </w:r>
      <w:r w:rsidRPr="006A2DA9">
        <w:rPr>
          <w:rFonts w:ascii="Arial" w:hAnsi="Arial" w:cs="Arial"/>
          <w:sz w:val="22"/>
          <w:szCs w:val="22"/>
        </w:rPr>
        <w:lastRenderedPageBreak/>
        <w:t>artigo, verifica se estão preenchidas as condições de aplicação desse artigo e, após este exame, considera não ter ocorrido uma prática abusiva.</w:t>
      </w:r>
    </w:p>
    <w:p w:rsidR="006A2DA9" w:rsidRPr="006A2DA9" w:rsidRDefault="006A2DA9" w:rsidP="006A2DA9">
      <w:pPr>
        <w:pStyle w:val="c05titre2"/>
        <w:spacing w:line="276" w:lineRule="auto"/>
        <w:rPr>
          <w:rFonts w:ascii="Arial" w:hAnsi="Arial" w:cs="Arial"/>
          <w:sz w:val="22"/>
          <w:szCs w:val="22"/>
        </w:rPr>
      </w:pPr>
      <w:r w:rsidRPr="006A2DA9">
        <w:rPr>
          <w:rFonts w:ascii="Arial" w:hAnsi="Arial" w:cs="Arial"/>
          <w:sz w:val="22"/>
          <w:szCs w:val="22"/>
        </w:rPr>
        <w:t>Quanto à segunda questão</w:t>
      </w:r>
    </w:p>
    <w:p w:rsidR="006A2DA9" w:rsidRPr="006A2DA9" w:rsidRDefault="006A2DA9" w:rsidP="006A2DA9">
      <w:pPr>
        <w:pStyle w:val="c01pointnumerotealtn"/>
        <w:spacing w:line="276" w:lineRule="auto"/>
        <w:rPr>
          <w:rFonts w:ascii="Arial" w:hAnsi="Arial" w:cs="Arial"/>
          <w:sz w:val="22"/>
          <w:szCs w:val="22"/>
        </w:rPr>
      </w:pPr>
      <w:bookmarkStart w:id="31" w:name="point31"/>
      <w:r w:rsidRPr="006A2DA9">
        <w:rPr>
          <w:rFonts w:ascii="Arial" w:hAnsi="Arial" w:cs="Arial"/>
          <w:sz w:val="22"/>
          <w:szCs w:val="22"/>
        </w:rPr>
        <w:t>31</w:t>
      </w:r>
      <w:bookmarkEnd w:id="31"/>
      <w:r w:rsidRPr="006A2DA9">
        <w:rPr>
          <w:rFonts w:ascii="Arial" w:hAnsi="Arial" w:cs="Arial"/>
          <w:sz w:val="22"/>
          <w:szCs w:val="22"/>
        </w:rPr>
        <w:t xml:space="preserve"> Com a sua segunda questão, o órgão jurisdicional de reenvio pergunta, no essencial, se o artigo 5.°, </w:t>
      </w:r>
      <w:proofErr w:type="gramStart"/>
      <w:r w:rsidRPr="006A2DA9">
        <w:rPr>
          <w:rFonts w:ascii="Arial" w:hAnsi="Arial" w:cs="Arial"/>
          <w:sz w:val="22"/>
          <w:szCs w:val="22"/>
        </w:rPr>
        <w:t>segundo</w:t>
      </w:r>
      <w:proofErr w:type="gramEnd"/>
      <w:r w:rsidRPr="006A2DA9">
        <w:rPr>
          <w:rFonts w:ascii="Arial" w:hAnsi="Arial" w:cs="Arial"/>
          <w:sz w:val="22"/>
          <w:szCs w:val="22"/>
        </w:rPr>
        <w:t xml:space="preserve"> parágrafo, do regulamento é </w:t>
      </w:r>
      <w:proofErr w:type="spellStart"/>
      <w:r w:rsidRPr="006A2DA9">
        <w:rPr>
          <w:rFonts w:ascii="Arial" w:hAnsi="Arial" w:cs="Arial"/>
          <w:sz w:val="22"/>
          <w:szCs w:val="22"/>
        </w:rPr>
        <w:t>directamente</w:t>
      </w:r>
      <w:proofErr w:type="spellEnd"/>
      <w:r w:rsidRPr="006A2DA9">
        <w:rPr>
          <w:rFonts w:ascii="Arial" w:hAnsi="Arial" w:cs="Arial"/>
          <w:sz w:val="22"/>
          <w:szCs w:val="22"/>
        </w:rPr>
        <w:t xml:space="preserve"> aplicável e se, com base nele, uma autoridade nacional da concorrência, que considere que as condições de proibição de uma prática nos termos do artigo 102.° TFUE não estão preenchidas, pode encerrar o processo instaurado contra uma empresa, </w:t>
      </w:r>
      <w:proofErr w:type="spellStart"/>
      <w:r w:rsidRPr="006A2DA9">
        <w:rPr>
          <w:rFonts w:ascii="Arial" w:hAnsi="Arial" w:cs="Arial"/>
          <w:sz w:val="22"/>
          <w:szCs w:val="22"/>
        </w:rPr>
        <w:t>adoptando</w:t>
      </w:r>
      <w:proofErr w:type="spellEnd"/>
      <w:r w:rsidRPr="006A2DA9">
        <w:rPr>
          <w:rFonts w:ascii="Arial" w:hAnsi="Arial" w:cs="Arial"/>
          <w:sz w:val="22"/>
          <w:szCs w:val="22"/>
        </w:rPr>
        <w:t xml:space="preserve"> uma decisão que declare que não se justifica a sua intervenção, quando, em tais circunstâncias, o direito nacional prevê unicamente a possibilidade de </w:t>
      </w:r>
      <w:proofErr w:type="spellStart"/>
      <w:r w:rsidRPr="006A2DA9">
        <w:rPr>
          <w:rFonts w:ascii="Arial" w:hAnsi="Arial" w:cs="Arial"/>
          <w:sz w:val="22"/>
          <w:szCs w:val="22"/>
        </w:rPr>
        <w:t>adoptar</w:t>
      </w:r>
      <w:proofErr w:type="spellEnd"/>
      <w:r w:rsidRPr="006A2DA9">
        <w:rPr>
          <w:rFonts w:ascii="Arial" w:hAnsi="Arial" w:cs="Arial"/>
          <w:sz w:val="22"/>
          <w:szCs w:val="22"/>
        </w:rPr>
        <w:t xml:space="preserve"> uma decisão negativa sobre o mérito.</w:t>
      </w:r>
    </w:p>
    <w:p w:rsidR="006A2DA9" w:rsidRPr="006A2DA9" w:rsidRDefault="006A2DA9" w:rsidP="006A2DA9">
      <w:pPr>
        <w:pStyle w:val="c01pointnumerotealtn"/>
        <w:spacing w:line="276" w:lineRule="auto"/>
        <w:rPr>
          <w:rFonts w:ascii="Arial" w:hAnsi="Arial" w:cs="Arial"/>
          <w:sz w:val="22"/>
          <w:szCs w:val="22"/>
        </w:rPr>
      </w:pPr>
      <w:bookmarkStart w:id="32" w:name="point32"/>
      <w:r w:rsidRPr="006A2DA9">
        <w:rPr>
          <w:rFonts w:ascii="Arial" w:hAnsi="Arial" w:cs="Arial"/>
          <w:sz w:val="22"/>
          <w:szCs w:val="22"/>
        </w:rPr>
        <w:t>32</w:t>
      </w:r>
      <w:bookmarkEnd w:id="32"/>
      <w:r w:rsidRPr="006A2DA9">
        <w:rPr>
          <w:rFonts w:ascii="Arial" w:hAnsi="Arial" w:cs="Arial"/>
          <w:sz w:val="22"/>
          <w:szCs w:val="22"/>
        </w:rPr>
        <w:t xml:space="preserve"> Resulta da resposta à primeira questão que uma autoridade nacional da concorrência não pode tomar uma decisão que conclua pela inexistência de violação do artigo 102.° TFUE. Nos termos do artigo 5.°, </w:t>
      </w:r>
      <w:proofErr w:type="gramStart"/>
      <w:r w:rsidRPr="006A2DA9">
        <w:rPr>
          <w:rFonts w:ascii="Arial" w:hAnsi="Arial" w:cs="Arial"/>
          <w:sz w:val="22"/>
          <w:szCs w:val="22"/>
        </w:rPr>
        <w:t>segundo</w:t>
      </w:r>
      <w:proofErr w:type="gramEnd"/>
      <w:r w:rsidRPr="006A2DA9">
        <w:rPr>
          <w:rFonts w:ascii="Arial" w:hAnsi="Arial" w:cs="Arial"/>
          <w:sz w:val="22"/>
          <w:szCs w:val="22"/>
        </w:rPr>
        <w:t xml:space="preserve"> parágrafo, do regulamento, tal autoridade, sempre que considere, com base nas informações de que dispõe, que não estão preenchidas as condições de proibição de uma prática nos termos do artigo 102.° TFUE</w:t>
      </w:r>
      <w:proofErr w:type="gramStart"/>
      <w:r w:rsidRPr="006A2DA9">
        <w:rPr>
          <w:rFonts w:ascii="Arial" w:hAnsi="Arial" w:cs="Arial"/>
          <w:sz w:val="22"/>
          <w:szCs w:val="22"/>
        </w:rPr>
        <w:t>,</w:t>
      </w:r>
      <w:proofErr w:type="gramEnd"/>
      <w:r w:rsidRPr="006A2DA9">
        <w:rPr>
          <w:rFonts w:ascii="Arial" w:hAnsi="Arial" w:cs="Arial"/>
          <w:sz w:val="22"/>
          <w:szCs w:val="22"/>
        </w:rPr>
        <w:t xml:space="preserve"> pode, todavia, decidir que não se justifica a sua intervenção.</w:t>
      </w:r>
    </w:p>
    <w:p w:rsidR="006A2DA9" w:rsidRPr="006A2DA9" w:rsidRDefault="006A2DA9" w:rsidP="006A2DA9">
      <w:pPr>
        <w:pStyle w:val="c01pointnumerotealtn"/>
        <w:spacing w:line="276" w:lineRule="auto"/>
        <w:rPr>
          <w:rFonts w:ascii="Arial" w:hAnsi="Arial" w:cs="Arial"/>
          <w:sz w:val="22"/>
          <w:szCs w:val="22"/>
        </w:rPr>
      </w:pPr>
      <w:bookmarkStart w:id="33" w:name="point33"/>
      <w:r w:rsidRPr="006A2DA9">
        <w:rPr>
          <w:rFonts w:ascii="Arial" w:hAnsi="Arial" w:cs="Arial"/>
          <w:sz w:val="22"/>
          <w:szCs w:val="22"/>
        </w:rPr>
        <w:t>33</w:t>
      </w:r>
      <w:bookmarkEnd w:id="33"/>
      <w:r w:rsidRPr="006A2DA9">
        <w:rPr>
          <w:rFonts w:ascii="Arial" w:hAnsi="Arial" w:cs="Arial"/>
          <w:sz w:val="22"/>
          <w:szCs w:val="22"/>
        </w:rPr>
        <w:t xml:space="preserve"> A este respeito, importa recordar que somente quando o direito da União não prevê normas específicas é que uma autoridade nacional da concorrência pode aplicar as suas normas nacionais.</w:t>
      </w:r>
    </w:p>
    <w:p w:rsidR="006A2DA9" w:rsidRPr="006A2DA9" w:rsidRDefault="006A2DA9" w:rsidP="006A2DA9">
      <w:pPr>
        <w:pStyle w:val="c01pointnumerotealtn"/>
        <w:spacing w:line="276" w:lineRule="auto"/>
        <w:rPr>
          <w:rFonts w:ascii="Arial" w:hAnsi="Arial" w:cs="Arial"/>
          <w:sz w:val="22"/>
          <w:szCs w:val="22"/>
        </w:rPr>
      </w:pPr>
      <w:bookmarkStart w:id="34" w:name="point34"/>
      <w:r w:rsidRPr="006A2DA9">
        <w:rPr>
          <w:rFonts w:ascii="Arial" w:hAnsi="Arial" w:cs="Arial"/>
          <w:sz w:val="22"/>
          <w:szCs w:val="22"/>
        </w:rPr>
        <w:t>34</w:t>
      </w:r>
      <w:bookmarkEnd w:id="34"/>
      <w:r w:rsidRPr="006A2DA9">
        <w:rPr>
          <w:rFonts w:ascii="Arial" w:hAnsi="Arial" w:cs="Arial"/>
          <w:sz w:val="22"/>
          <w:szCs w:val="22"/>
        </w:rPr>
        <w:t xml:space="preserve"> No caso em apreço, uma vez que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é </w:t>
      </w:r>
      <w:proofErr w:type="spellStart"/>
      <w:r w:rsidRPr="006A2DA9">
        <w:rPr>
          <w:rFonts w:ascii="Arial" w:hAnsi="Arial" w:cs="Arial"/>
          <w:sz w:val="22"/>
          <w:szCs w:val="22"/>
        </w:rPr>
        <w:t>directamente</w:t>
      </w:r>
      <w:proofErr w:type="spellEnd"/>
      <w:r w:rsidRPr="006A2DA9">
        <w:rPr>
          <w:rFonts w:ascii="Arial" w:hAnsi="Arial" w:cs="Arial"/>
          <w:sz w:val="22"/>
          <w:szCs w:val="22"/>
        </w:rPr>
        <w:t xml:space="preserve"> aplicável em todos os Estados</w:t>
      </w:r>
      <w:r w:rsidRPr="006A2DA9">
        <w:rPr>
          <w:rFonts w:ascii="Arial" w:hAnsi="Arial" w:cs="Arial"/>
          <w:sz w:val="22"/>
          <w:szCs w:val="22"/>
        </w:rPr>
        <w:noBreakHyphen/>
        <w:t>Membros, nos termos do artigo 288.° TFUE</w:t>
      </w:r>
      <w:proofErr w:type="gramStart"/>
      <w:r w:rsidRPr="006A2DA9">
        <w:rPr>
          <w:rFonts w:ascii="Arial" w:hAnsi="Arial" w:cs="Arial"/>
          <w:sz w:val="22"/>
          <w:szCs w:val="22"/>
        </w:rPr>
        <w:t>,</w:t>
      </w:r>
      <w:proofErr w:type="gramEnd"/>
      <w:r w:rsidRPr="006A2DA9">
        <w:rPr>
          <w:rFonts w:ascii="Arial" w:hAnsi="Arial" w:cs="Arial"/>
          <w:sz w:val="22"/>
          <w:szCs w:val="22"/>
        </w:rPr>
        <w:t xml:space="preserve"> opõe</w:t>
      </w:r>
      <w:r w:rsidRPr="006A2DA9">
        <w:rPr>
          <w:rFonts w:ascii="Arial" w:hAnsi="Arial" w:cs="Arial"/>
          <w:sz w:val="22"/>
          <w:szCs w:val="22"/>
        </w:rPr>
        <w:noBreakHyphen/>
        <w:t>se à aplicação de uma norma de direito nacional que imponha o encerramento de um processo relativo à aplicação do artigo 102.° TFUE através de uma decisão que declare a inexistência de violação do referido artigo.</w:t>
      </w:r>
    </w:p>
    <w:p w:rsidR="006A2DA9" w:rsidRPr="006A2DA9" w:rsidRDefault="006A2DA9" w:rsidP="006A2DA9">
      <w:pPr>
        <w:pStyle w:val="c01pointnumerotealtn"/>
        <w:spacing w:line="276" w:lineRule="auto"/>
        <w:rPr>
          <w:rFonts w:ascii="Arial" w:hAnsi="Arial" w:cs="Arial"/>
          <w:sz w:val="22"/>
          <w:szCs w:val="22"/>
        </w:rPr>
      </w:pPr>
      <w:bookmarkStart w:id="35" w:name="point35"/>
      <w:r w:rsidRPr="006A2DA9">
        <w:rPr>
          <w:rFonts w:ascii="Arial" w:hAnsi="Arial" w:cs="Arial"/>
          <w:sz w:val="22"/>
          <w:szCs w:val="22"/>
        </w:rPr>
        <w:t>35</w:t>
      </w:r>
      <w:bookmarkEnd w:id="35"/>
      <w:r w:rsidRPr="006A2DA9">
        <w:rPr>
          <w:rFonts w:ascii="Arial" w:hAnsi="Arial" w:cs="Arial"/>
          <w:sz w:val="22"/>
          <w:szCs w:val="22"/>
        </w:rPr>
        <w:t xml:space="preserve"> Cabe assim responder à segunda questão que o artigo 5.°, </w:t>
      </w:r>
      <w:proofErr w:type="gramStart"/>
      <w:r w:rsidRPr="006A2DA9">
        <w:rPr>
          <w:rFonts w:ascii="Arial" w:hAnsi="Arial" w:cs="Arial"/>
          <w:sz w:val="22"/>
          <w:szCs w:val="22"/>
        </w:rPr>
        <w:t>segundo</w:t>
      </w:r>
      <w:proofErr w:type="gramEnd"/>
      <w:r w:rsidRPr="006A2DA9">
        <w:rPr>
          <w:rFonts w:ascii="Arial" w:hAnsi="Arial" w:cs="Arial"/>
          <w:sz w:val="22"/>
          <w:szCs w:val="22"/>
        </w:rPr>
        <w:t xml:space="preserve"> parágrafo, do regulamento é </w:t>
      </w:r>
      <w:proofErr w:type="spellStart"/>
      <w:r w:rsidRPr="006A2DA9">
        <w:rPr>
          <w:rFonts w:ascii="Arial" w:hAnsi="Arial" w:cs="Arial"/>
          <w:sz w:val="22"/>
          <w:szCs w:val="22"/>
        </w:rPr>
        <w:t>directamente</w:t>
      </w:r>
      <w:proofErr w:type="spellEnd"/>
      <w:r w:rsidRPr="006A2DA9">
        <w:rPr>
          <w:rFonts w:ascii="Arial" w:hAnsi="Arial" w:cs="Arial"/>
          <w:sz w:val="22"/>
          <w:szCs w:val="22"/>
        </w:rPr>
        <w:t xml:space="preserve"> aplicável e se opõe à aplicação de uma norma de direito nacional que imponha o encerramento de um processo relativo à aplicação do artigo 102.° TFUE através de uma decisão que declare a inexistência de violação do referido artigo.</w:t>
      </w:r>
    </w:p>
    <w:p w:rsidR="006A2DA9" w:rsidRPr="006A2DA9" w:rsidRDefault="006A2DA9" w:rsidP="006A2DA9">
      <w:pPr>
        <w:pStyle w:val="c04titre1"/>
        <w:spacing w:line="276" w:lineRule="auto"/>
        <w:rPr>
          <w:rFonts w:ascii="Arial" w:hAnsi="Arial" w:cs="Arial"/>
          <w:sz w:val="22"/>
          <w:szCs w:val="22"/>
        </w:rPr>
      </w:pPr>
      <w:r w:rsidRPr="006A2DA9">
        <w:rPr>
          <w:rFonts w:ascii="Arial" w:hAnsi="Arial" w:cs="Arial"/>
          <w:sz w:val="22"/>
          <w:szCs w:val="22"/>
        </w:rPr>
        <w:t>Quanto às despesas</w:t>
      </w:r>
    </w:p>
    <w:p w:rsidR="006A2DA9" w:rsidRPr="006A2DA9" w:rsidRDefault="006A2DA9" w:rsidP="006A2DA9">
      <w:pPr>
        <w:pStyle w:val="c01pointnumerotealtn"/>
        <w:spacing w:line="276" w:lineRule="auto"/>
        <w:rPr>
          <w:rFonts w:ascii="Arial" w:hAnsi="Arial" w:cs="Arial"/>
          <w:sz w:val="22"/>
          <w:szCs w:val="22"/>
        </w:rPr>
      </w:pPr>
      <w:bookmarkStart w:id="36" w:name="point36"/>
      <w:r w:rsidRPr="006A2DA9">
        <w:rPr>
          <w:rFonts w:ascii="Arial" w:hAnsi="Arial" w:cs="Arial"/>
          <w:sz w:val="22"/>
          <w:szCs w:val="22"/>
        </w:rPr>
        <w:t>36</w:t>
      </w:r>
      <w:bookmarkEnd w:id="36"/>
      <w:r w:rsidRPr="006A2DA9">
        <w:rPr>
          <w:rFonts w:ascii="Arial" w:hAnsi="Arial" w:cs="Arial"/>
          <w:sz w:val="22"/>
          <w:szCs w:val="22"/>
        </w:rPr>
        <w:t xml:space="preserve"> Revestindo o processo, quanto às partes na causa principal, a natureza de incidente suscitado perante o órgão jurisdicional de reenvio, compete a este decidir quanto às despesas. As despesas </w:t>
      </w:r>
      <w:proofErr w:type="spellStart"/>
      <w:r w:rsidRPr="006A2DA9">
        <w:rPr>
          <w:rFonts w:ascii="Arial" w:hAnsi="Arial" w:cs="Arial"/>
          <w:sz w:val="22"/>
          <w:szCs w:val="22"/>
        </w:rPr>
        <w:t>efectuadas</w:t>
      </w:r>
      <w:proofErr w:type="spellEnd"/>
      <w:r w:rsidRPr="006A2DA9">
        <w:rPr>
          <w:rFonts w:ascii="Arial" w:hAnsi="Arial" w:cs="Arial"/>
          <w:sz w:val="22"/>
          <w:szCs w:val="22"/>
        </w:rPr>
        <w:t xml:space="preserve"> pelas outras partes para a apresentação de observações ao Tribunal de Justiça não são reembolsáveis.</w:t>
      </w:r>
    </w:p>
    <w:p w:rsidR="006A2DA9" w:rsidRPr="006A2DA9" w:rsidRDefault="006A2DA9" w:rsidP="006A2DA9">
      <w:pPr>
        <w:pStyle w:val="c41dispositifintroduction"/>
        <w:spacing w:line="276" w:lineRule="auto"/>
        <w:jc w:val="both"/>
        <w:rPr>
          <w:rFonts w:ascii="Arial" w:hAnsi="Arial" w:cs="Arial"/>
          <w:sz w:val="22"/>
          <w:szCs w:val="22"/>
        </w:rPr>
      </w:pPr>
      <w:r w:rsidRPr="006A2DA9">
        <w:rPr>
          <w:rFonts w:ascii="Arial" w:hAnsi="Arial" w:cs="Arial"/>
          <w:sz w:val="22"/>
          <w:szCs w:val="22"/>
        </w:rPr>
        <w:t>Pelos fundamentos expostos, o Tribunal de Justiça (Grande Secção) declara:</w:t>
      </w:r>
    </w:p>
    <w:p w:rsidR="006A2DA9" w:rsidRPr="006A2DA9" w:rsidRDefault="006A2DA9" w:rsidP="006A2DA9">
      <w:pPr>
        <w:pStyle w:val="c08dispositif"/>
        <w:spacing w:line="276" w:lineRule="auto"/>
        <w:rPr>
          <w:rFonts w:ascii="Arial" w:hAnsi="Arial" w:cs="Arial"/>
          <w:sz w:val="22"/>
          <w:szCs w:val="22"/>
        </w:rPr>
      </w:pPr>
      <w:r w:rsidRPr="006A2DA9">
        <w:rPr>
          <w:rFonts w:ascii="Arial" w:hAnsi="Arial" w:cs="Arial"/>
          <w:sz w:val="22"/>
          <w:szCs w:val="22"/>
        </w:rPr>
        <w:lastRenderedPageBreak/>
        <w:t xml:space="preserve">1) O artigo 5.° </w:t>
      </w:r>
      <w:proofErr w:type="gramStart"/>
      <w:r w:rsidRPr="006A2DA9">
        <w:rPr>
          <w:rFonts w:ascii="Arial" w:hAnsi="Arial" w:cs="Arial"/>
          <w:sz w:val="22"/>
          <w:szCs w:val="22"/>
        </w:rPr>
        <w:t>do</w:t>
      </w:r>
      <w:proofErr w:type="gramEnd"/>
      <w:r w:rsidRPr="006A2DA9">
        <w:rPr>
          <w:rFonts w:ascii="Arial" w:hAnsi="Arial" w:cs="Arial"/>
          <w:sz w:val="22"/>
          <w:szCs w:val="22"/>
        </w:rPr>
        <w:t xml:space="preserve"> Regulamento (CE) </w:t>
      </w:r>
      <w:proofErr w:type="spellStart"/>
      <w:r w:rsidRPr="006A2DA9">
        <w:rPr>
          <w:rFonts w:ascii="Arial" w:hAnsi="Arial" w:cs="Arial"/>
          <w:sz w:val="22"/>
          <w:szCs w:val="22"/>
        </w:rPr>
        <w:t>n.°</w:t>
      </w:r>
      <w:proofErr w:type="spellEnd"/>
      <w:r w:rsidRPr="006A2DA9">
        <w:rPr>
          <w:rFonts w:ascii="Arial" w:hAnsi="Arial" w:cs="Arial"/>
          <w:sz w:val="22"/>
          <w:szCs w:val="22"/>
        </w:rPr>
        <w:t xml:space="preserve"> 1/2003 </w:t>
      </w:r>
      <w:proofErr w:type="gramStart"/>
      <w:r w:rsidRPr="006A2DA9">
        <w:rPr>
          <w:rFonts w:ascii="Arial" w:hAnsi="Arial" w:cs="Arial"/>
          <w:sz w:val="22"/>
          <w:szCs w:val="22"/>
        </w:rPr>
        <w:t>do</w:t>
      </w:r>
      <w:proofErr w:type="gramEnd"/>
      <w:r w:rsidRPr="006A2DA9">
        <w:rPr>
          <w:rFonts w:ascii="Arial" w:hAnsi="Arial" w:cs="Arial"/>
          <w:sz w:val="22"/>
          <w:szCs w:val="22"/>
        </w:rPr>
        <w:t xml:space="preserve"> Conselho, de 16 de Dezembro de 2002, relativo à execução das regras de concorrência estabelecidas nos artigos 81.° </w:t>
      </w:r>
      <w:proofErr w:type="gramStart"/>
      <w:r w:rsidRPr="006A2DA9">
        <w:rPr>
          <w:rFonts w:ascii="Arial" w:hAnsi="Arial" w:cs="Arial"/>
          <w:sz w:val="22"/>
          <w:szCs w:val="22"/>
        </w:rPr>
        <w:t>e</w:t>
      </w:r>
      <w:proofErr w:type="gramEnd"/>
      <w:r w:rsidRPr="006A2DA9">
        <w:rPr>
          <w:rFonts w:ascii="Arial" w:hAnsi="Arial" w:cs="Arial"/>
          <w:sz w:val="22"/>
          <w:szCs w:val="22"/>
        </w:rPr>
        <w:t xml:space="preserve"> 82.° </w:t>
      </w:r>
      <w:proofErr w:type="gramStart"/>
      <w:r w:rsidRPr="006A2DA9">
        <w:rPr>
          <w:rFonts w:ascii="Arial" w:hAnsi="Arial" w:cs="Arial"/>
          <w:sz w:val="22"/>
          <w:szCs w:val="22"/>
        </w:rPr>
        <w:t>do</w:t>
      </w:r>
      <w:proofErr w:type="gramEnd"/>
      <w:r w:rsidRPr="006A2DA9">
        <w:rPr>
          <w:rFonts w:ascii="Arial" w:hAnsi="Arial" w:cs="Arial"/>
          <w:sz w:val="22"/>
          <w:szCs w:val="22"/>
        </w:rPr>
        <w:t xml:space="preserve"> Tratado, deve ser interpretado no sentido de que se opõe a que uma autoridade nacional da concorrência possa tomar uma decisão que conclua pela inexistência de violação do artigo 102.° TFUE, quando, a fim de aplicar o referido artigo, verifica se estão preenchidas as condições de aplicação desse artigo e, após este exame, considera não ter ocorrido uma prática abusiva.</w:t>
      </w:r>
    </w:p>
    <w:p w:rsidR="006A2DA9" w:rsidRPr="006A2DA9" w:rsidRDefault="006A2DA9" w:rsidP="006A2DA9">
      <w:pPr>
        <w:pStyle w:val="c08dispositif"/>
        <w:spacing w:line="276" w:lineRule="auto"/>
        <w:rPr>
          <w:rFonts w:ascii="Arial" w:hAnsi="Arial" w:cs="Arial"/>
          <w:sz w:val="22"/>
          <w:szCs w:val="22"/>
        </w:rPr>
      </w:pPr>
      <w:r w:rsidRPr="006A2DA9">
        <w:rPr>
          <w:rFonts w:ascii="Arial" w:hAnsi="Arial" w:cs="Arial"/>
          <w:sz w:val="22"/>
          <w:szCs w:val="22"/>
        </w:rPr>
        <w:t xml:space="preserve">2) O artigo 5.°, </w:t>
      </w:r>
      <w:proofErr w:type="gramStart"/>
      <w:r w:rsidRPr="006A2DA9">
        <w:rPr>
          <w:rFonts w:ascii="Arial" w:hAnsi="Arial" w:cs="Arial"/>
          <w:sz w:val="22"/>
          <w:szCs w:val="22"/>
        </w:rPr>
        <w:t>segundo</w:t>
      </w:r>
      <w:proofErr w:type="gramEnd"/>
      <w:r w:rsidRPr="006A2DA9">
        <w:rPr>
          <w:rFonts w:ascii="Arial" w:hAnsi="Arial" w:cs="Arial"/>
          <w:sz w:val="22"/>
          <w:szCs w:val="22"/>
        </w:rPr>
        <w:t xml:space="preserve"> parágrafo, do Regulamento </w:t>
      </w:r>
      <w:proofErr w:type="spellStart"/>
      <w:r w:rsidRPr="006A2DA9">
        <w:rPr>
          <w:rFonts w:ascii="Arial" w:hAnsi="Arial" w:cs="Arial"/>
          <w:sz w:val="22"/>
          <w:szCs w:val="22"/>
        </w:rPr>
        <w:t>n.°</w:t>
      </w:r>
      <w:proofErr w:type="spellEnd"/>
      <w:r w:rsidRPr="006A2DA9">
        <w:rPr>
          <w:rFonts w:ascii="Arial" w:hAnsi="Arial" w:cs="Arial"/>
          <w:sz w:val="22"/>
          <w:szCs w:val="22"/>
        </w:rPr>
        <w:t xml:space="preserve"> 1/2003 </w:t>
      </w:r>
      <w:proofErr w:type="gramStart"/>
      <w:r w:rsidRPr="006A2DA9">
        <w:rPr>
          <w:rFonts w:ascii="Arial" w:hAnsi="Arial" w:cs="Arial"/>
          <w:sz w:val="22"/>
          <w:szCs w:val="22"/>
        </w:rPr>
        <w:t>é</w:t>
      </w:r>
      <w:proofErr w:type="gramEnd"/>
      <w:r w:rsidRPr="006A2DA9">
        <w:rPr>
          <w:rFonts w:ascii="Arial" w:hAnsi="Arial" w:cs="Arial"/>
          <w:sz w:val="22"/>
          <w:szCs w:val="22"/>
        </w:rPr>
        <w:t xml:space="preserve"> </w:t>
      </w:r>
      <w:proofErr w:type="spellStart"/>
      <w:r w:rsidRPr="006A2DA9">
        <w:rPr>
          <w:rFonts w:ascii="Arial" w:hAnsi="Arial" w:cs="Arial"/>
          <w:sz w:val="22"/>
          <w:szCs w:val="22"/>
        </w:rPr>
        <w:t>directamente</w:t>
      </w:r>
      <w:proofErr w:type="spellEnd"/>
      <w:r w:rsidRPr="006A2DA9">
        <w:rPr>
          <w:rFonts w:ascii="Arial" w:hAnsi="Arial" w:cs="Arial"/>
          <w:sz w:val="22"/>
          <w:szCs w:val="22"/>
        </w:rPr>
        <w:t xml:space="preserve"> aplicável e opõe</w:t>
      </w:r>
      <w:r w:rsidRPr="006A2DA9">
        <w:rPr>
          <w:rFonts w:ascii="Arial" w:hAnsi="Arial" w:cs="Arial"/>
          <w:sz w:val="22"/>
          <w:szCs w:val="22"/>
        </w:rPr>
        <w:noBreakHyphen/>
        <w:t>se à aplicação de uma norma de direito nacional que imponha o encerramento de um processo relativo à aplicação do artigo 102.° TFUE através de uma decisão que declare a inexistência de violação do referido artigo.</w:t>
      </w:r>
    </w:p>
    <w:p w:rsidR="008F6466" w:rsidRPr="006A2DA9" w:rsidRDefault="008F6466" w:rsidP="006A2DA9">
      <w:pPr>
        <w:jc w:val="both"/>
        <w:rPr>
          <w:rFonts w:ascii="Arial" w:hAnsi="Arial" w:cs="Arial"/>
        </w:rPr>
      </w:pPr>
    </w:p>
    <w:p w:rsidR="006A2DA9" w:rsidRPr="006A2DA9" w:rsidRDefault="006A2DA9">
      <w:pPr>
        <w:jc w:val="both"/>
        <w:rPr>
          <w:rFonts w:ascii="Arial" w:hAnsi="Arial" w:cs="Arial"/>
        </w:rPr>
      </w:pPr>
    </w:p>
    <w:sectPr w:rsidR="006A2DA9" w:rsidRPr="006A2DA9" w:rsidSect="008F6466">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B5D" w:rsidRDefault="003C1B5D" w:rsidP="00F5012F">
      <w:pPr>
        <w:spacing w:after="0" w:line="240" w:lineRule="auto"/>
      </w:pPr>
      <w:r>
        <w:separator/>
      </w:r>
    </w:p>
  </w:endnote>
  <w:endnote w:type="continuationSeparator" w:id="0">
    <w:p w:rsidR="003C1B5D" w:rsidRDefault="003C1B5D" w:rsidP="00F50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7990"/>
      <w:docPartObj>
        <w:docPartGallery w:val="Page Numbers (Bottom of Page)"/>
        <w:docPartUnique/>
      </w:docPartObj>
    </w:sdtPr>
    <w:sdtContent>
      <w:p w:rsidR="00F5012F" w:rsidRDefault="00F5012F">
        <w:pPr>
          <w:pStyle w:val="Footer"/>
          <w:jc w:val="right"/>
        </w:pPr>
        <w:fldSimple w:instr=" PAGE   \* MERGEFORMAT ">
          <w:r>
            <w:rPr>
              <w:noProof/>
            </w:rPr>
            <w:t>1</w:t>
          </w:r>
        </w:fldSimple>
      </w:p>
    </w:sdtContent>
  </w:sdt>
  <w:p w:rsidR="00F5012F" w:rsidRDefault="00F50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B5D" w:rsidRDefault="003C1B5D" w:rsidP="00F5012F">
      <w:pPr>
        <w:spacing w:after="0" w:line="240" w:lineRule="auto"/>
      </w:pPr>
      <w:r>
        <w:separator/>
      </w:r>
    </w:p>
  </w:footnote>
  <w:footnote w:type="continuationSeparator" w:id="0">
    <w:p w:rsidR="003C1B5D" w:rsidRDefault="003C1B5D" w:rsidP="00F501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6A2DA9"/>
    <w:rsid w:val="003C1B5D"/>
    <w:rsid w:val="006A2DA9"/>
    <w:rsid w:val="008F6466"/>
    <w:rsid w:val="00F5012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DA9"/>
    <w:rPr>
      <w:color w:val="0000FF"/>
      <w:u w:val="single"/>
    </w:rPr>
  </w:style>
  <w:style w:type="paragraph" w:customStyle="1" w:styleId="c01pointnumerotealtn">
    <w:name w:val="c01pointnumerotealtn"/>
    <w:basedOn w:val="Normal"/>
    <w:rsid w:val="006A2DA9"/>
    <w:pPr>
      <w:spacing w:before="100" w:beforeAutospacing="1" w:after="240" w:line="240" w:lineRule="auto"/>
      <w:ind w:left="567" w:hanging="539"/>
      <w:jc w:val="both"/>
    </w:pPr>
    <w:rPr>
      <w:rFonts w:ascii="Times New Roman" w:eastAsia="Times New Roman" w:hAnsi="Times New Roman" w:cs="Times New Roman"/>
      <w:sz w:val="24"/>
      <w:szCs w:val="24"/>
      <w:lang w:eastAsia="pt-PT"/>
    </w:rPr>
  </w:style>
  <w:style w:type="paragraph" w:customStyle="1" w:styleId="c02alineaalta">
    <w:name w:val="c02alineaalta"/>
    <w:basedOn w:val="Normal"/>
    <w:rsid w:val="006A2DA9"/>
    <w:pPr>
      <w:spacing w:after="240" w:line="240" w:lineRule="auto"/>
      <w:ind w:left="567"/>
      <w:jc w:val="both"/>
    </w:pPr>
    <w:rPr>
      <w:rFonts w:ascii="Times New Roman" w:eastAsia="Times New Roman" w:hAnsi="Times New Roman" w:cs="Times New Roman"/>
      <w:sz w:val="24"/>
      <w:szCs w:val="24"/>
      <w:lang w:eastAsia="pt-PT"/>
    </w:rPr>
  </w:style>
  <w:style w:type="paragraph" w:customStyle="1" w:styleId="c03tiretlong">
    <w:name w:val="c03tiretlong"/>
    <w:basedOn w:val="Normal"/>
    <w:rsid w:val="006A2DA9"/>
    <w:pPr>
      <w:spacing w:before="100" w:beforeAutospacing="1"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04titre1">
    <w:name w:val="c04titre1"/>
    <w:basedOn w:val="Normal"/>
    <w:rsid w:val="006A2DA9"/>
    <w:pPr>
      <w:spacing w:before="480" w:after="240" w:line="240" w:lineRule="auto"/>
      <w:ind w:left="567"/>
      <w:jc w:val="both"/>
    </w:pPr>
    <w:rPr>
      <w:rFonts w:ascii="Times New Roman" w:eastAsia="Times New Roman" w:hAnsi="Times New Roman" w:cs="Times New Roman"/>
      <w:b/>
      <w:bCs/>
      <w:sz w:val="24"/>
      <w:szCs w:val="24"/>
      <w:lang w:eastAsia="pt-PT"/>
    </w:rPr>
  </w:style>
  <w:style w:type="paragraph" w:customStyle="1" w:styleId="c05titre2">
    <w:name w:val="c05titre2"/>
    <w:basedOn w:val="Normal"/>
    <w:rsid w:val="006A2DA9"/>
    <w:pPr>
      <w:spacing w:after="240" w:line="240" w:lineRule="auto"/>
      <w:ind w:left="567"/>
      <w:jc w:val="both"/>
    </w:pPr>
    <w:rPr>
      <w:rFonts w:ascii="Times New Roman" w:eastAsia="Times New Roman" w:hAnsi="Times New Roman" w:cs="Times New Roman"/>
      <w:i/>
      <w:iCs/>
      <w:sz w:val="24"/>
      <w:szCs w:val="24"/>
      <w:lang w:eastAsia="pt-PT"/>
    </w:rPr>
  </w:style>
  <w:style w:type="paragraph" w:customStyle="1" w:styleId="c08dispositif">
    <w:name w:val="c08dispositif"/>
    <w:basedOn w:val="Normal"/>
    <w:rsid w:val="006A2DA9"/>
    <w:pPr>
      <w:spacing w:before="100" w:beforeAutospacing="1" w:after="240" w:line="240" w:lineRule="auto"/>
      <w:ind w:left="1134" w:hanging="567"/>
      <w:jc w:val="both"/>
    </w:pPr>
    <w:rPr>
      <w:rFonts w:ascii="Times New Roman" w:eastAsia="Times New Roman" w:hAnsi="Times New Roman" w:cs="Times New Roman"/>
      <w:b/>
      <w:bCs/>
      <w:sz w:val="24"/>
      <w:szCs w:val="24"/>
      <w:lang w:eastAsia="pt-PT"/>
    </w:rPr>
  </w:style>
  <w:style w:type="paragraph" w:customStyle="1" w:styleId="c19centre">
    <w:name w:val="c19centre"/>
    <w:basedOn w:val="Normal"/>
    <w:rsid w:val="006A2DA9"/>
    <w:pPr>
      <w:spacing w:after="240" w:line="240" w:lineRule="auto"/>
      <w:ind w:left="567"/>
      <w:jc w:val="center"/>
    </w:pPr>
    <w:rPr>
      <w:rFonts w:ascii="Times New Roman" w:eastAsia="Times New Roman" w:hAnsi="Times New Roman" w:cs="Times New Roman"/>
      <w:sz w:val="24"/>
      <w:szCs w:val="24"/>
      <w:lang w:eastAsia="pt-PT"/>
    </w:rPr>
  </w:style>
  <w:style w:type="paragraph" w:customStyle="1" w:styleId="c09marge0avecretrait">
    <w:name w:val="c09marge0avecretrait"/>
    <w:basedOn w:val="Normal"/>
    <w:rsid w:val="006A2DA9"/>
    <w:pPr>
      <w:spacing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75debutdesmotifs">
    <w:name w:val="c75debutdesmotifs"/>
    <w:basedOn w:val="Normal"/>
    <w:rsid w:val="006A2DA9"/>
    <w:pPr>
      <w:spacing w:before="480" w:after="480" w:line="240" w:lineRule="auto"/>
      <w:ind w:left="567"/>
      <w:jc w:val="center"/>
    </w:pPr>
    <w:rPr>
      <w:rFonts w:ascii="Times New Roman" w:eastAsia="Times New Roman" w:hAnsi="Times New Roman" w:cs="Times New Roman"/>
      <w:b/>
      <w:bCs/>
      <w:sz w:val="24"/>
      <w:szCs w:val="24"/>
      <w:lang w:eastAsia="pt-PT"/>
    </w:rPr>
  </w:style>
  <w:style w:type="paragraph" w:customStyle="1" w:styleId="c71indicateur">
    <w:name w:val="c71indicateur"/>
    <w:basedOn w:val="Normal"/>
    <w:rsid w:val="006A2DA9"/>
    <w:pPr>
      <w:spacing w:before="600" w:after="560" w:line="240" w:lineRule="auto"/>
      <w:ind w:left="567"/>
      <w:jc w:val="center"/>
    </w:pPr>
    <w:rPr>
      <w:rFonts w:ascii="Times New Roman" w:eastAsia="Times New Roman" w:hAnsi="Times New Roman" w:cs="Times New Roman"/>
      <w:sz w:val="24"/>
      <w:szCs w:val="24"/>
      <w:lang w:eastAsia="pt-PT"/>
    </w:rPr>
  </w:style>
  <w:style w:type="paragraph" w:customStyle="1" w:styleId="c41dispositifintroduction">
    <w:name w:val="c41dispositifintroduction"/>
    <w:basedOn w:val="Normal"/>
    <w:rsid w:val="006A2DA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Header">
    <w:name w:val="header"/>
    <w:basedOn w:val="Normal"/>
    <w:link w:val="HeaderChar"/>
    <w:uiPriority w:val="99"/>
    <w:semiHidden/>
    <w:unhideWhenUsed/>
    <w:rsid w:val="00F5012F"/>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F5012F"/>
  </w:style>
  <w:style w:type="paragraph" w:styleId="Footer">
    <w:name w:val="footer"/>
    <w:basedOn w:val="Normal"/>
    <w:link w:val="FooterChar"/>
    <w:uiPriority w:val="99"/>
    <w:unhideWhenUsed/>
    <w:rsid w:val="00F5012F"/>
    <w:pPr>
      <w:tabs>
        <w:tab w:val="center" w:pos="4252"/>
        <w:tab w:val="right" w:pos="8504"/>
      </w:tabs>
      <w:spacing w:after="0" w:line="240" w:lineRule="auto"/>
    </w:pPr>
  </w:style>
  <w:style w:type="character" w:customStyle="1" w:styleId="FooterChar">
    <w:name w:val="Footer Char"/>
    <w:basedOn w:val="DefaultParagraphFont"/>
    <w:link w:val="Footer"/>
    <w:uiPriority w:val="99"/>
    <w:rsid w:val="00F5012F"/>
  </w:style>
</w:styles>
</file>

<file path=word/webSettings.xml><?xml version="1.0" encoding="utf-8"?>
<w:webSettings xmlns:r="http://schemas.openxmlformats.org/officeDocument/2006/relationships" xmlns:w="http://schemas.openxmlformats.org/wordprocessingml/2006/main">
  <w:divs>
    <w:div w:id="110827048">
      <w:bodyDiv w:val="1"/>
      <w:marLeft w:val="0"/>
      <w:marRight w:val="0"/>
      <w:marTop w:val="0"/>
      <w:marBottom w:val="0"/>
      <w:divBdr>
        <w:top w:val="none" w:sz="0" w:space="0" w:color="auto"/>
        <w:left w:val="none" w:sz="0" w:space="0" w:color="auto"/>
        <w:bottom w:val="none" w:sz="0" w:space="0" w:color="auto"/>
        <w:right w:val="none" w:sz="0" w:space="0" w:color="auto"/>
      </w:divBdr>
      <w:divsChild>
        <w:div w:id="1376546560">
          <w:marLeft w:val="0"/>
          <w:marRight w:val="0"/>
          <w:marTop w:val="0"/>
          <w:marBottom w:val="0"/>
          <w:divBdr>
            <w:top w:val="none" w:sz="0" w:space="0" w:color="auto"/>
            <w:left w:val="none" w:sz="0" w:space="0" w:color="auto"/>
            <w:bottom w:val="none" w:sz="0" w:space="0" w:color="auto"/>
            <w:right w:val="none" w:sz="0" w:space="0" w:color="auto"/>
          </w:divBdr>
          <w:divsChild>
            <w:div w:id="1376542305">
              <w:marLeft w:val="0"/>
              <w:marRight w:val="0"/>
              <w:marTop w:val="0"/>
              <w:marBottom w:val="0"/>
              <w:divBdr>
                <w:top w:val="none" w:sz="0" w:space="0" w:color="auto"/>
                <w:left w:val="none" w:sz="0" w:space="0" w:color="auto"/>
                <w:bottom w:val="none" w:sz="0" w:space="0" w:color="auto"/>
                <w:right w:val="none" w:sz="0" w:space="0" w:color="auto"/>
              </w:divBdr>
              <w:divsChild>
                <w:div w:id="406613425">
                  <w:marLeft w:val="0"/>
                  <w:marRight w:val="0"/>
                  <w:marTop w:val="0"/>
                  <w:marBottom w:val="0"/>
                  <w:divBdr>
                    <w:top w:val="none" w:sz="0" w:space="0" w:color="auto"/>
                    <w:left w:val="none" w:sz="0" w:space="0" w:color="auto"/>
                    <w:bottom w:val="none" w:sz="0" w:space="0" w:color="auto"/>
                    <w:right w:val="none" w:sz="0" w:space="0" w:color="auto"/>
                  </w:divBdr>
                  <w:divsChild>
                    <w:div w:id="8460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3219</Words>
  <Characters>17386</Characters>
  <Application>Microsoft Office Word</Application>
  <DocSecurity>0</DocSecurity>
  <Lines>144</Lines>
  <Paragraphs>41</Paragraphs>
  <ScaleCrop>false</ScaleCrop>
  <Company/>
  <LinksUpToDate>false</LinksUpToDate>
  <CharactersWithSpaces>20564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cp:lastModifiedBy>
  <cp:revision>2</cp:revision>
  <dcterms:created xsi:type="dcterms:W3CDTF">2012-06-09T16:55:00Z</dcterms:created>
  <dcterms:modified xsi:type="dcterms:W3CDTF">2012-06-09T16:56:00Z</dcterms:modified>
</cp:coreProperties>
</file>