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FE6" w:rsidRPr="002E087B" w:rsidRDefault="00D80FE6" w:rsidP="002E087B">
      <w:pPr>
        <w:pStyle w:val="c19centre"/>
        <w:spacing w:line="276" w:lineRule="auto"/>
        <w:ind w:left="0"/>
        <w:rPr>
          <w:rFonts w:ascii="Arial" w:hAnsi="Arial" w:cs="Arial"/>
          <w:b/>
        </w:rPr>
      </w:pPr>
      <w:r w:rsidRPr="002E087B">
        <w:rPr>
          <w:rFonts w:ascii="Arial" w:hAnsi="Arial" w:cs="Arial"/>
          <w:b/>
        </w:rPr>
        <w:t>ACÓRDÃO DO TRIBUNAL DE JUSTIÇA (Terceira Secção)</w:t>
      </w:r>
    </w:p>
    <w:p w:rsidR="00D80FE6" w:rsidRPr="002E087B" w:rsidRDefault="00D80FE6" w:rsidP="002E087B">
      <w:pPr>
        <w:pStyle w:val="c19centre"/>
        <w:spacing w:line="276" w:lineRule="auto"/>
        <w:ind w:left="0"/>
        <w:rPr>
          <w:rFonts w:ascii="Arial" w:hAnsi="Arial" w:cs="Arial"/>
          <w:b/>
        </w:rPr>
      </w:pPr>
      <w:r w:rsidRPr="002E087B">
        <w:rPr>
          <w:rFonts w:ascii="Arial" w:hAnsi="Arial" w:cs="Arial"/>
          <w:b/>
        </w:rPr>
        <w:t xml:space="preserve">4 </w:t>
      </w:r>
      <w:proofErr w:type="gramStart"/>
      <w:r w:rsidRPr="002E087B">
        <w:rPr>
          <w:rFonts w:ascii="Arial" w:hAnsi="Arial" w:cs="Arial"/>
          <w:b/>
        </w:rPr>
        <w:t>de</w:t>
      </w:r>
      <w:proofErr w:type="gramEnd"/>
      <w:r w:rsidRPr="002E087B">
        <w:rPr>
          <w:rFonts w:ascii="Arial" w:hAnsi="Arial" w:cs="Arial"/>
          <w:b/>
        </w:rPr>
        <w:t xml:space="preserve"> Junho de 2009 (</w:t>
      </w:r>
      <w:bookmarkStart w:id="0" w:name="Footref*"/>
      <w:r w:rsidRPr="002E087B">
        <w:rPr>
          <w:rFonts w:ascii="Arial" w:hAnsi="Arial" w:cs="Arial"/>
          <w:b/>
        </w:rPr>
        <w:fldChar w:fldCharType="begin"/>
      </w:r>
      <w:r w:rsidRPr="002E087B">
        <w:rPr>
          <w:rFonts w:ascii="Arial" w:hAnsi="Arial" w:cs="Arial"/>
          <w:b/>
        </w:rPr>
        <w:instrText xml:space="preserve"> HYPERLINK "http://curia.europa.eu/juris/document/document.jsf?text=&amp;docid=74817&amp;pageIndex=0&amp;doclang=PT&amp;mode=doc&amp;dir=&amp;occ=first&amp;part=1&amp;cid=399843" \l "Footnote*" </w:instrText>
      </w:r>
      <w:r w:rsidRPr="002E087B">
        <w:rPr>
          <w:rFonts w:ascii="Arial" w:hAnsi="Arial" w:cs="Arial"/>
          <w:b/>
        </w:rPr>
        <w:fldChar w:fldCharType="separate"/>
      </w:r>
      <w:r w:rsidRPr="002E087B">
        <w:rPr>
          <w:rStyle w:val="Hyperlink"/>
          <w:rFonts w:ascii="Arial" w:hAnsi="Arial" w:cs="Arial"/>
          <w:b/>
        </w:rPr>
        <w:t>*</w:t>
      </w:r>
      <w:r w:rsidRPr="002E087B">
        <w:rPr>
          <w:rFonts w:ascii="Arial" w:hAnsi="Arial" w:cs="Arial"/>
          <w:b/>
        </w:rPr>
        <w:fldChar w:fldCharType="end"/>
      </w:r>
      <w:bookmarkEnd w:id="0"/>
      <w:r w:rsidRPr="002E087B">
        <w:rPr>
          <w:rFonts w:ascii="Arial" w:hAnsi="Arial" w:cs="Arial"/>
          <w:b/>
        </w:rPr>
        <w:t>)</w:t>
      </w:r>
    </w:p>
    <w:p w:rsidR="00D80FE6" w:rsidRPr="002E087B" w:rsidRDefault="00D80FE6" w:rsidP="002E087B">
      <w:pPr>
        <w:pStyle w:val="c71indicateur"/>
        <w:spacing w:line="276" w:lineRule="auto"/>
        <w:ind w:left="0"/>
        <w:rPr>
          <w:rFonts w:ascii="Arial" w:hAnsi="Arial" w:cs="Arial"/>
          <w:b/>
        </w:rPr>
      </w:pPr>
      <w:r w:rsidRPr="002E087B">
        <w:rPr>
          <w:rFonts w:ascii="Arial" w:hAnsi="Arial" w:cs="Arial"/>
          <w:b/>
        </w:rPr>
        <w:t xml:space="preserve">«Pedido de decisão prejudicial – Artigo 81.°, </w:t>
      </w:r>
      <w:proofErr w:type="spellStart"/>
      <w:proofErr w:type="gramStart"/>
      <w:r w:rsidRPr="002E087B">
        <w:rPr>
          <w:rFonts w:ascii="Arial" w:hAnsi="Arial" w:cs="Arial"/>
          <w:b/>
        </w:rPr>
        <w:t>n</w:t>
      </w:r>
      <w:proofErr w:type="gramEnd"/>
      <w:r w:rsidRPr="002E087B">
        <w:rPr>
          <w:rFonts w:ascii="Arial" w:hAnsi="Arial" w:cs="Arial"/>
          <w:b/>
        </w:rPr>
        <w:t>.°</w:t>
      </w:r>
      <w:proofErr w:type="spellEnd"/>
      <w:r w:rsidRPr="002E087B">
        <w:rPr>
          <w:rFonts w:ascii="Arial" w:hAnsi="Arial" w:cs="Arial"/>
          <w:b/>
        </w:rPr>
        <w:t xml:space="preserve"> 1, CE – Conceito de ‘prática concertada’ – Nexo de causalidade entre a concertação e a </w:t>
      </w:r>
      <w:proofErr w:type="spellStart"/>
      <w:r w:rsidRPr="002E087B">
        <w:rPr>
          <w:rFonts w:ascii="Arial" w:hAnsi="Arial" w:cs="Arial"/>
          <w:b/>
        </w:rPr>
        <w:t>actuação</w:t>
      </w:r>
      <w:proofErr w:type="spellEnd"/>
      <w:r w:rsidRPr="002E087B">
        <w:rPr>
          <w:rFonts w:ascii="Arial" w:hAnsi="Arial" w:cs="Arial"/>
          <w:b/>
        </w:rPr>
        <w:t xml:space="preserve"> das empresas no mercado – Apreciação de acordo com as normas de direito nacional – Carácter suficiente de uma única reunião ou necessidade de uma concertação duradoura e regular»</w:t>
      </w:r>
    </w:p>
    <w:p w:rsidR="00D80FE6" w:rsidRPr="002E087B" w:rsidRDefault="00D80FE6" w:rsidP="002E087B">
      <w:pPr>
        <w:pStyle w:val="c02alineaalta"/>
        <w:spacing w:line="276" w:lineRule="auto"/>
        <w:ind w:left="0"/>
        <w:rPr>
          <w:rFonts w:ascii="Arial" w:hAnsi="Arial" w:cs="Arial"/>
          <w:sz w:val="22"/>
          <w:szCs w:val="22"/>
        </w:rPr>
      </w:pPr>
      <w:r w:rsidRPr="002E087B">
        <w:rPr>
          <w:rFonts w:ascii="Arial" w:hAnsi="Arial" w:cs="Arial"/>
          <w:sz w:val="22"/>
          <w:szCs w:val="22"/>
        </w:rPr>
        <w:t>No processo C</w:t>
      </w:r>
      <w:r w:rsidRPr="002E087B">
        <w:rPr>
          <w:rFonts w:ascii="Arial" w:hAnsi="Arial" w:cs="Arial"/>
          <w:sz w:val="22"/>
          <w:szCs w:val="22"/>
        </w:rPr>
        <w:noBreakHyphen/>
        <w:t>8/08,</w:t>
      </w:r>
    </w:p>
    <w:p w:rsidR="00D80FE6" w:rsidRPr="002E087B" w:rsidRDefault="00D80FE6" w:rsidP="002E087B">
      <w:pPr>
        <w:pStyle w:val="c02alineaalta"/>
        <w:spacing w:line="276" w:lineRule="auto"/>
        <w:ind w:left="0"/>
        <w:rPr>
          <w:rFonts w:ascii="Arial" w:hAnsi="Arial" w:cs="Arial"/>
          <w:sz w:val="22"/>
          <w:szCs w:val="22"/>
        </w:rPr>
      </w:pPr>
      <w:proofErr w:type="gramStart"/>
      <w:r w:rsidRPr="002E087B">
        <w:rPr>
          <w:rFonts w:ascii="Arial" w:hAnsi="Arial" w:cs="Arial"/>
          <w:sz w:val="22"/>
          <w:szCs w:val="22"/>
        </w:rPr>
        <w:t>que</w:t>
      </w:r>
      <w:proofErr w:type="gramEnd"/>
      <w:r w:rsidRPr="002E087B">
        <w:rPr>
          <w:rFonts w:ascii="Arial" w:hAnsi="Arial" w:cs="Arial"/>
          <w:sz w:val="22"/>
          <w:szCs w:val="22"/>
        </w:rPr>
        <w:t xml:space="preserve"> tem por </w:t>
      </w:r>
      <w:proofErr w:type="spellStart"/>
      <w:r w:rsidRPr="002E087B">
        <w:rPr>
          <w:rFonts w:ascii="Arial" w:hAnsi="Arial" w:cs="Arial"/>
          <w:sz w:val="22"/>
          <w:szCs w:val="22"/>
        </w:rPr>
        <w:t>objecto</w:t>
      </w:r>
      <w:proofErr w:type="spellEnd"/>
      <w:r w:rsidRPr="002E087B">
        <w:rPr>
          <w:rFonts w:ascii="Arial" w:hAnsi="Arial" w:cs="Arial"/>
          <w:sz w:val="22"/>
          <w:szCs w:val="22"/>
        </w:rPr>
        <w:t xml:space="preserve"> um pedido de decisão prejudicial nos termos do artigo 234.° CE, apresentado pelo </w:t>
      </w:r>
      <w:proofErr w:type="spellStart"/>
      <w:r w:rsidRPr="002E087B">
        <w:rPr>
          <w:rFonts w:ascii="Arial" w:hAnsi="Arial" w:cs="Arial"/>
          <w:sz w:val="22"/>
          <w:szCs w:val="22"/>
        </w:rPr>
        <w:t>College</w:t>
      </w:r>
      <w:proofErr w:type="spellEnd"/>
      <w:r w:rsidRPr="002E087B">
        <w:rPr>
          <w:rFonts w:ascii="Arial" w:hAnsi="Arial" w:cs="Arial"/>
          <w:sz w:val="22"/>
          <w:szCs w:val="22"/>
        </w:rPr>
        <w:t xml:space="preserve"> van </w:t>
      </w:r>
      <w:proofErr w:type="spellStart"/>
      <w:r w:rsidRPr="002E087B">
        <w:rPr>
          <w:rFonts w:ascii="Arial" w:hAnsi="Arial" w:cs="Arial"/>
          <w:sz w:val="22"/>
          <w:szCs w:val="22"/>
        </w:rPr>
        <w:t>Beroep</w:t>
      </w:r>
      <w:proofErr w:type="spellEnd"/>
      <w:r w:rsidRPr="002E087B">
        <w:rPr>
          <w:rFonts w:ascii="Arial" w:hAnsi="Arial" w:cs="Arial"/>
          <w:sz w:val="22"/>
          <w:szCs w:val="22"/>
        </w:rPr>
        <w:t xml:space="preserve"> </w:t>
      </w:r>
      <w:proofErr w:type="spellStart"/>
      <w:r w:rsidRPr="002E087B">
        <w:rPr>
          <w:rFonts w:ascii="Arial" w:hAnsi="Arial" w:cs="Arial"/>
          <w:sz w:val="22"/>
          <w:szCs w:val="22"/>
        </w:rPr>
        <w:t>voor</w:t>
      </w:r>
      <w:proofErr w:type="spellEnd"/>
      <w:r w:rsidRPr="002E087B">
        <w:rPr>
          <w:rFonts w:ascii="Arial" w:hAnsi="Arial" w:cs="Arial"/>
          <w:sz w:val="22"/>
          <w:szCs w:val="22"/>
        </w:rPr>
        <w:t xml:space="preserve"> </w:t>
      </w:r>
      <w:proofErr w:type="spellStart"/>
      <w:r w:rsidRPr="002E087B">
        <w:rPr>
          <w:rFonts w:ascii="Arial" w:hAnsi="Arial" w:cs="Arial"/>
          <w:sz w:val="22"/>
          <w:szCs w:val="22"/>
        </w:rPr>
        <w:t>het</w:t>
      </w:r>
      <w:proofErr w:type="spellEnd"/>
      <w:r w:rsidRPr="002E087B">
        <w:rPr>
          <w:rFonts w:ascii="Arial" w:hAnsi="Arial" w:cs="Arial"/>
          <w:sz w:val="22"/>
          <w:szCs w:val="22"/>
        </w:rPr>
        <w:t xml:space="preserve"> </w:t>
      </w:r>
      <w:proofErr w:type="spellStart"/>
      <w:r w:rsidRPr="002E087B">
        <w:rPr>
          <w:rFonts w:ascii="Arial" w:hAnsi="Arial" w:cs="Arial"/>
          <w:sz w:val="22"/>
          <w:szCs w:val="22"/>
        </w:rPr>
        <w:t>bedrijfsleven</w:t>
      </w:r>
      <w:proofErr w:type="spellEnd"/>
      <w:r w:rsidRPr="002E087B">
        <w:rPr>
          <w:rFonts w:ascii="Arial" w:hAnsi="Arial" w:cs="Arial"/>
          <w:sz w:val="22"/>
          <w:szCs w:val="22"/>
        </w:rPr>
        <w:t xml:space="preserve"> (Países Baixos), por decisão de 31 de Dezembro de 2007, entrado no Tribunal de Justiça em 9 de Janeiro de 2008, no processo</w:t>
      </w:r>
    </w:p>
    <w:p w:rsidR="00D80FE6" w:rsidRPr="002E087B" w:rsidRDefault="00D80FE6" w:rsidP="002E087B">
      <w:pPr>
        <w:pStyle w:val="c02alineaalta"/>
        <w:spacing w:line="276" w:lineRule="auto"/>
        <w:ind w:left="0"/>
        <w:rPr>
          <w:rFonts w:ascii="Arial" w:hAnsi="Arial" w:cs="Arial"/>
          <w:sz w:val="22"/>
          <w:szCs w:val="22"/>
          <w:lang w:val="en-US"/>
        </w:rPr>
      </w:pPr>
      <w:r w:rsidRPr="002E087B">
        <w:rPr>
          <w:rFonts w:ascii="Arial" w:hAnsi="Arial" w:cs="Arial"/>
          <w:b/>
          <w:bCs/>
          <w:sz w:val="22"/>
          <w:szCs w:val="22"/>
          <w:lang w:val="en-US"/>
        </w:rPr>
        <w:t>T</w:t>
      </w:r>
      <w:r w:rsidRPr="002E087B">
        <w:rPr>
          <w:rFonts w:ascii="Arial" w:hAnsi="Arial" w:cs="Arial"/>
          <w:b/>
          <w:bCs/>
          <w:sz w:val="22"/>
          <w:szCs w:val="22"/>
          <w:lang w:val="en-US"/>
        </w:rPr>
        <w:noBreakHyphen/>
        <w:t>Mobile Netherlands BV,</w:t>
      </w:r>
    </w:p>
    <w:p w:rsidR="00D80FE6" w:rsidRPr="002E087B" w:rsidRDefault="00D80FE6" w:rsidP="002E087B">
      <w:pPr>
        <w:pStyle w:val="c02alineaalta"/>
        <w:spacing w:line="276" w:lineRule="auto"/>
        <w:ind w:left="0"/>
        <w:rPr>
          <w:rFonts w:ascii="Arial" w:hAnsi="Arial" w:cs="Arial"/>
          <w:sz w:val="22"/>
          <w:szCs w:val="22"/>
          <w:lang w:val="en-US"/>
        </w:rPr>
      </w:pPr>
      <w:r w:rsidRPr="002E087B">
        <w:rPr>
          <w:rFonts w:ascii="Arial" w:hAnsi="Arial" w:cs="Arial"/>
          <w:b/>
          <w:bCs/>
          <w:sz w:val="22"/>
          <w:szCs w:val="22"/>
          <w:lang w:val="en-US"/>
        </w:rPr>
        <w:t>KPN Mobile NV,</w:t>
      </w:r>
    </w:p>
    <w:p w:rsidR="00D80FE6" w:rsidRPr="002E087B" w:rsidRDefault="00D80FE6" w:rsidP="002E087B">
      <w:pPr>
        <w:pStyle w:val="c02alineaalta"/>
        <w:spacing w:line="276" w:lineRule="auto"/>
        <w:ind w:left="0"/>
        <w:rPr>
          <w:rFonts w:ascii="Arial" w:hAnsi="Arial" w:cs="Arial"/>
          <w:sz w:val="22"/>
          <w:szCs w:val="22"/>
        </w:rPr>
      </w:pPr>
      <w:r w:rsidRPr="002E087B">
        <w:rPr>
          <w:rFonts w:ascii="Arial" w:hAnsi="Arial" w:cs="Arial"/>
          <w:b/>
          <w:bCs/>
          <w:sz w:val="22"/>
          <w:szCs w:val="22"/>
        </w:rPr>
        <w:t xml:space="preserve">Orange </w:t>
      </w:r>
      <w:proofErr w:type="spellStart"/>
      <w:r w:rsidRPr="002E087B">
        <w:rPr>
          <w:rFonts w:ascii="Arial" w:hAnsi="Arial" w:cs="Arial"/>
          <w:b/>
          <w:bCs/>
          <w:sz w:val="22"/>
          <w:szCs w:val="22"/>
        </w:rPr>
        <w:t>Nederland</w:t>
      </w:r>
      <w:proofErr w:type="spellEnd"/>
      <w:r w:rsidRPr="002E087B">
        <w:rPr>
          <w:rFonts w:ascii="Arial" w:hAnsi="Arial" w:cs="Arial"/>
          <w:b/>
          <w:bCs/>
          <w:sz w:val="22"/>
          <w:szCs w:val="22"/>
        </w:rPr>
        <w:t xml:space="preserve"> NV,</w:t>
      </w:r>
    </w:p>
    <w:p w:rsidR="00D80FE6" w:rsidRPr="002E087B" w:rsidRDefault="00D80FE6" w:rsidP="002E087B">
      <w:pPr>
        <w:pStyle w:val="c02alineaalta"/>
        <w:spacing w:line="276" w:lineRule="auto"/>
        <w:ind w:left="0"/>
        <w:rPr>
          <w:rFonts w:ascii="Arial" w:hAnsi="Arial" w:cs="Arial"/>
          <w:sz w:val="22"/>
          <w:szCs w:val="22"/>
        </w:rPr>
      </w:pPr>
      <w:r w:rsidRPr="002E087B">
        <w:rPr>
          <w:rFonts w:ascii="Arial" w:hAnsi="Arial" w:cs="Arial"/>
          <w:b/>
          <w:bCs/>
          <w:sz w:val="22"/>
          <w:szCs w:val="22"/>
        </w:rPr>
        <w:t xml:space="preserve">Vodafone </w:t>
      </w:r>
      <w:proofErr w:type="spellStart"/>
      <w:r w:rsidRPr="002E087B">
        <w:rPr>
          <w:rFonts w:ascii="Arial" w:hAnsi="Arial" w:cs="Arial"/>
          <w:b/>
          <w:bCs/>
          <w:sz w:val="22"/>
          <w:szCs w:val="22"/>
        </w:rPr>
        <w:t>Libertel</w:t>
      </w:r>
      <w:proofErr w:type="spellEnd"/>
      <w:r w:rsidRPr="002E087B">
        <w:rPr>
          <w:rFonts w:ascii="Arial" w:hAnsi="Arial" w:cs="Arial"/>
          <w:b/>
          <w:bCs/>
          <w:sz w:val="22"/>
          <w:szCs w:val="22"/>
        </w:rPr>
        <w:t xml:space="preserve"> NV</w:t>
      </w:r>
    </w:p>
    <w:p w:rsidR="00D80FE6" w:rsidRPr="002E087B" w:rsidRDefault="00D80FE6" w:rsidP="002E087B">
      <w:pPr>
        <w:pStyle w:val="c02alineaalta"/>
        <w:spacing w:line="276" w:lineRule="auto"/>
        <w:ind w:left="0"/>
        <w:rPr>
          <w:rFonts w:ascii="Arial" w:hAnsi="Arial" w:cs="Arial"/>
          <w:sz w:val="22"/>
          <w:szCs w:val="22"/>
        </w:rPr>
      </w:pPr>
      <w:proofErr w:type="gramStart"/>
      <w:r w:rsidRPr="002E087B">
        <w:rPr>
          <w:rFonts w:ascii="Arial" w:hAnsi="Arial" w:cs="Arial"/>
          <w:sz w:val="22"/>
          <w:szCs w:val="22"/>
        </w:rPr>
        <w:t>contra</w:t>
      </w:r>
      <w:proofErr w:type="gramEnd"/>
    </w:p>
    <w:p w:rsidR="00D80FE6" w:rsidRPr="002E087B" w:rsidRDefault="00D80FE6" w:rsidP="002E087B">
      <w:pPr>
        <w:pStyle w:val="c02alineaalta"/>
        <w:spacing w:line="276" w:lineRule="auto"/>
        <w:ind w:left="0"/>
        <w:rPr>
          <w:rFonts w:ascii="Arial" w:hAnsi="Arial" w:cs="Arial"/>
          <w:sz w:val="22"/>
          <w:szCs w:val="22"/>
          <w:lang w:val="en-US"/>
        </w:rPr>
      </w:pPr>
      <w:proofErr w:type="spellStart"/>
      <w:r w:rsidRPr="002E087B">
        <w:rPr>
          <w:rFonts w:ascii="Arial" w:hAnsi="Arial" w:cs="Arial"/>
          <w:b/>
          <w:bCs/>
          <w:sz w:val="22"/>
          <w:szCs w:val="22"/>
          <w:lang w:val="en-US"/>
        </w:rPr>
        <w:t>Raad</w:t>
      </w:r>
      <w:proofErr w:type="spellEnd"/>
      <w:r w:rsidRPr="002E087B">
        <w:rPr>
          <w:rFonts w:ascii="Arial" w:hAnsi="Arial" w:cs="Arial"/>
          <w:b/>
          <w:bCs/>
          <w:sz w:val="22"/>
          <w:szCs w:val="22"/>
          <w:lang w:val="en-US"/>
        </w:rPr>
        <w:t xml:space="preserve"> van </w:t>
      </w:r>
      <w:proofErr w:type="spellStart"/>
      <w:r w:rsidRPr="002E087B">
        <w:rPr>
          <w:rFonts w:ascii="Arial" w:hAnsi="Arial" w:cs="Arial"/>
          <w:b/>
          <w:bCs/>
          <w:sz w:val="22"/>
          <w:szCs w:val="22"/>
          <w:lang w:val="en-US"/>
        </w:rPr>
        <w:t>bestuur</w:t>
      </w:r>
      <w:proofErr w:type="spellEnd"/>
      <w:r w:rsidRPr="002E087B">
        <w:rPr>
          <w:rFonts w:ascii="Arial" w:hAnsi="Arial" w:cs="Arial"/>
          <w:b/>
          <w:bCs/>
          <w:sz w:val="22"/>
          <w:szCs w:val="22"/>
          <w:lang w:val="en-US"/>
        </w:rPr>
        <w:t xml:space="preserve"> van de </w:t>
      </w:r>
      <w:proofErr w:type="spellStart"/>
      <w:r w:rsidRPr="002E087B">
        <w:rPr>
          <w:rFonts w:ascii="Arial" w:hAnsi="Arial" w:cs="Arial"/>
          <w:b/>
          <w:bCs/>
          <w:sz w:val="22"/>
          <w:szCs w:val="22"/>
          <w:lang w:val="en-US"/>
        </w:rPr>
        <w:t>Nederlandse</w:t>
      </w:r>
      <w:proofErr w:type="spellEnd"/>
      <w:r w:rsidRPr="002E087B">
        <w:rPr>
          <w:rFonts w:ascii="Arial" w:hAnsi="Arial" w:cs="Arial"/>
          <w:b/>
          <w:bCs/>
          <w:sz w:val="22"/>
          <w:szCs w:val="22"/>
          <w:lang w:val="en-US"/>
        </w:rPr>
        <w:t xml:space="preserve"> </w:t>
      </w:r>
      <w:proofErr w:type="spellStart"/>
      <w:r w:rsidRPr="002E087B">
        <w:rPr>
          <w:rFonts w:ascii="Arial" w:hAnsi="Arial" w:cs="Arial"/>
          <w:b/>
          <w:bCs/>
          <w:sz w:val="22"/>
          <w:szCs w:val="22"/>
          <w:lang w:val="en-US"/>
        </w:rPr>
        <w:t>Mededingingsautoriteit</w:t>
      </w:r>
      <w:proofErr w:type="spellEnd"/>
      <w:r w:rsidRPr="002E087B">
        <w:rPr>
          <w:rFonts w:ascii="Arial" w:hAnsi="Arial" w:cs="Arial"/>
          <w:b/>
          <w:bCs/>
          <w:sz w:val="22"/>
          <w:szCs w:val="22"/>
          <w:lang w:val="en-US"/>
        </w:rPr>
        <w:t>,</w:t>
      </w:r>
    </w:p>
    <w:p w:rsidR="00D80FE6" w:rsidRPr="002E087B" w:rsidRDefault="00D80FE6" w:rsidP="002E087B">
      <w:pPr>
        <w:pStyle w:val="c19centre"/>
        <w:spacing w:line="276" w:lineRule="auto"/>
        <w:ind w:left="0"/>
        <w:rPr>
          <w:rFonts w:ascii="Arial" w:hAnsi="Arial" w:cs="Arial"/>
          <w:sz w:val="22"/>
          <w:szCs w:val="22"/>
        </w:rPr>
      </w:pPr>
      <w:r w:rsidRPr="002E087B">
        <w:rPr>
          <w:rFonts w:ascii="Arial" w:hAnsi="Arial" w:cs="Arial"/>
          <w:sz w:val="22"/>
          <w:szCs w:val="22"/>
        </w:rPr>
        <w:t>O TRIBUNAL DE JUSTIÇA (Terceira Secção),</w:t>
      </w:r>
    </w:p>
    <w:p w:rsidR="00D80FE6" w:rsidRPr="002E087B" w:rsidRDefault="00D80FE6" w:rsidP="002E087B">
      <w:pPr>
        <w:pStyle w:val="c02alineaalta"/>
        <w:spacing w:line="276" w:lineRule="auto"/>
        <w:ind w:left="0"/>
        <w:rPr>
          <w:rFonts w:ascii="Arial" w:hAnsi="Arial" w:cs="Arial"/>
          <w:sz w:val="22"/>
          <w:szCs w:val="22"/>
        </w:rPr>
      </w:pPr>
      <w:proofErr w:type="gramStart"/>
      <w:r w:rsidRPr="002E087B">
        <w:rPr>
          <w:rFonts w:ascii="Arial" w:hAnsi="Arial" w:cs="Arial"/>
          <w:sz w:val="22"/>
          <w:szCs w:val="22"/>
        </w:rPr>
        <w:t>composto</w:t>
      </w:r>
      <w:proofErr w:type="gramEnd"/>
      <w:r w:rsidRPr="002E087B">
        <w:rPr>
          <w:rFonts w:ascii="Arial" w:hAnsi="Arial" w:cs="Arial"/>
          <w:sz w:val="22"/>
          <w:szCs w:val="22"/>
        </w:rPr>
        <w:t xml:space="preserve"> por: A. Rosas, presidente de secção, A. Ó </w:t>
      </w:r>
      <w:proofErr w:type="spellStart"/>
      <w:r w:rsidRPr="002E087B">
        <w:rPr>
          <w:rFonts w:ascii="Arial" w:hAnsi="Arial" w:cs="Arial"/>
          <w:sz w:val="22"/>
          <w:szCs w:val="22"/>
        </w:rPr>
        <w:t>Caoimh</w:t>
      </w:r>
      <w:proofErr w:type="spellEnd"/>
      <w:r w:rsidRPr="002E087B">
        <w:rPr>
          <w:rFonts w:ascii="Arial" w:hAnsi="Arial" w:cs="Arial"/>
          <w:sz w:val="22"/>
          <w:szCs w:val="22"/>
        </w:rPr>
        <w:t xml:space="preserve">, J. N. Cunha Rodrigues, J. </w:t>
      </w:r>
      <w:proofErr w:type="spellStart"/>
      <w:r w:rsidRPr="002E087B">
        <w:rPr>
          <w:rFonts w:ascii="Arial" w:hAnsi="Arial" w:cs="Arial"/>
          <w:sz w:val="22"/>
          <w:szCs w:val="22"/>
        </w:rPr>
        <w:t>Klučka</w:t>
      </w:r>
      <w:proofErr w:type="spellEnd"/>
      <w:r w:rsidRPr="002E087B">
        <w:rPr>
          <w:rFonts w:ascii="Arial" w:hAnsi="Arial" w:cs="Arial"/>
          <w:sz w:val="22"/>
          <w:szCs w:val="22"/>
        </w:rPr>
        <w:t xml:space="preserve"> (relator) e U. </w:t>
      </w:r>
      <w:proofErr w:type="spellStart"/>
      <w:r w:rsidRPr="002E087B">
        <w:rPr>
          <w:rFonts w:ascii="Arial" w:hAnsi="Arial" w:cs="Arial"/>
          <w:sz w:val="22"/>
          <w:szCs w:val="22"/>
        </w:rPr>
        <w:t>Lõhmus</w:t>
      </w:r>
      <w:proofErr w:type="spellEnd"/>
      <w:r w:rsidRPr="002E087B">
        <w:rPr>
          <w:rFonts w:ascii="Arial" w:hAnsi="Arial" w:cs="Arial"/>
          <w:sz w:val="22"/>
          <w:szCs w:val="22"/>
        </w:rPr>
        <w:t>, juízes,</w:t>
      </w:r>
    </w:p>
    <w:p w:rsidR="00D80FE6" w:rsidRPr="002E087B" w:rsidRDefault="00D80FE6" w:rsidP="002E087B">
      <w:pPr>
        <w:pStyle w:val="c02alineaalta"/>
        <w:spacing w:line="276" w:lineRule="auto"/>
        <w:ind w:left="0"/>
        <w:rPr>
          <w:rFonts w:ascii="Arial" w:hAnsi="Arial" w:cs="Arial"/>
          <w:sz w:val="22"/>
          <w:szCs w:val="22"/>
        </w:rPr>
      </w:pPr>
      <w:proofErr w:type="gramStart"/>
      <w:r w:rsidRPr="002E087B">
        <w:rPr>
          <w:rFonts w:ascii="Arial" w:hAnsi="Arial" w:cs="Arial"/>
          <w:sz w:val="22"/>
          <w:szCs w:val="22"/>
        </w:rPr>
        <w:t>advogada</w:t>
      </w:r>
      <w:r w:rsidRPr="002E087B">
        <w:rPr>
          <w:rFonts w:ascii="Arial" w:hAnsi="Arial" w:cs="Arial"/>
          <w:sz w:val="22"/>
          <w:szCs w:val="22"/>
        </w:rPr>
        <w:noBreakHyphen/>
        <w:t>geral</w:t>
      </w:r>
      <w:proofErr w:type="gramEnd"/>
      <w:r w:rsidRPr="002E087B">
        <w:rPr>
          <w:rFonts w:ascii="Arial" w:hAnsi="Arial" w:cs="Arial"/>
          <w:sz w:val="22"/>
          <w:szCs w:val="22"/>
        </w:rPr>
        <w:t xml:space="preserve">: J. </w:t>
      </w:r>
      <w:proofErr w:type="spellStart"/>
      <w:r w:rsidRPr="002E087B">
        <w:rPr>
          <w:rFonts w:ascii="Arial" w:hAnsi="Arial" w:cs="Arial"/>
          <w:sz w:val="22"/>
          <w:szCs w:val="22"/>
        </w:rPr>
        <w:t>Kokott</w:t>
      </w:r>
      <w:proofErr w:type="spellEnd"/>
      <w:r w:rsidRPr="002E087B">
        <w:rPr>
          <w:rFonts w:ascii="Arial" w:hAnsi="Arial" w:cs="Arial"/>
          <w:sz w:val="22"/>
          <w:szCs w:val="22"/>
        </w:rPr>
        <w:t>,</w:t>
      </w:r>
    </w:p>
    <w:p w:rsidR="00D80FE6" w:rsidRPr="002E087B" w:rsidRDefault="00D80FE6" w:rsidP="002E087B">
      <w:pPr>
        <w:pStyle w:val="c02alineaalta"/>
        <w:spacing w:line="276" w:lineRule="auto"/>
        <w:ind w:left="0"/>
        <w:rPr>
          <w:rFonts w:ascii="Arial" w:hAnsi="Arial" w:cs="Arial"/>
          <w:sz w:val="22"/>
          <w:szCs w:val="22"/>
        </w:rPr>
      </w:pPr>
      <w:proofErr w:type="gramStart"/>
      <w:r w:rsidRPr="002E087B">
        <w:rPr>
          <w:rFonts w:ascii="Arial" w:hAnsi="Arial" w:cs="Arial"/>
          <w:sz w:val="22"/>
          <w:szCs w:val="22"/>
        </w:rPr>
        <w:t>secretário</w:t>
      </w:r>
      <w:proofErr w:type="gramEnd"/>
      <w:r w:rsidRPr="002E087B">
        <w:rPr>
          <w:rFonts w:ascii="Arial" w:hAnsi="Arial" w:cs="Arial"/>
          <w:sz w:val="22"/>
          <w:szCs w:val="22"/>
        </w:rPr>
        <w:t xml:space="preserve">: R. </w:t>
      </w:r>
      <w:proofErr w:type="spellStart"/>
      <w:r w:rsidRPr="002E087B">
        <w:rPr>
          <w:rFonts w:ascii="Arial" w:hAnsi="Arial" w:cs="Arial"/>
          <w:sz w:val="22"/>
          <w:szCs w:val="22"/>
        </w:rPr>
        <w:t>Şereş</w:t>
      </w:r>
      <w:proofErr w:type="spellEnd"/>
      <w:r w:rsidRPr="002E087B">
        <w:rPr>
          <w:rFonts w:ascii="Arial" w:hAnsi="Arial" w:cs="Arial"/>
          <w:sz w:val="22"/>
          <w:szCs w:val="22"/>
        </w:rPr>
        <w:t>, administradora,</w:t>
      </w:r>
    </w:p>
    <w:p w:rsidR="00D80FE6" w:rsidRPr="002E087B" w:rsidRDefault="00D80FE6" w:rsidP="002E087B">
      <w:pPr>
        <w:pStyle w:val="c02alineaalta"/>
        <w:spacing w:line="276" w:lineRule="auto"/>
        <w:ind w:left="0"/>
        <w:rPr>
          <w:rFonts w:ascii="Arial" w:hAnsi="Arial" w:cs="Arial"/>
          <w:sz w:val="22"/>
          <w:szCs w:val="22"/>
        </w:rPr>
      </w:pPr>
      <w:proofErr w:type="gramStart"/>
      <w:r w:rsidRPr="002E087B">
        <w:rPr>
          <w:rFonts w:ascii="Arial" w:hAnsi="Arial" w:cs="Arial"/>
          <w:sz w:val="22"/>
          <w:szCs w:val="22"/>
        </w:rPr>
        <w:t>vistos</w:t>
      </w:r>
      <w:proofErr w:type="gramEnd"/>
      <w:r w:rsidRPr="002E087B">
        <w:rPr>
          <w:rFonts w:ascii="Arial" w:hAnsi="Arial" w:cs="Arial"/>
          <w:sz w:val="22"/>
          <w:szCs w:val="22"/>
        </w:rPr>
        <w:t xml:space="preserve"> os autos e após a audiência de 15 de Janeiro de 2009,</w:t>
      </w:r>
    </w:p>
    <w:p w:rsidR="00D80FE6" w:rsidRPr="002E087B" w:rsidRDefault="00D80FE6" w:rsidP="002E087B">
      <w:pPr>
        <w:pStyle w:val="c02alineaalta"/>
        <w:spacing w:line="276" w:lineRule="auto"/>
        <w:ind w:left="0"/>
        <w:rPr>
          <w:rFonts w:ascii="Arial" w:hAnsi="Arial" w:cs="Arial"/>
          <w:sz w:val="22"/>
          <w:szCs w:val="22"/>
        </w:rPr>
      </w:pPr>
      <w:proofErr w:type="gramStart"/>
      <w:r w:rsidRPr="002E087B">
        <w:rPr>
          <w:rFonts w:ascii="Arial" w:hAnsi="Arial" w:cs="Arial"/>
          <w:sz w:val="22"/>
          <w:szCs w:val="22"/>
        </w:rPr>
        <w:t>vistas</w:t>
      </w:r>
      <w:proofErr w:type="gramEnd"/>
      <w:r w:rsidRPr="002E087B">
        <w:rPr>
          <w:rFonts w:ascii="Arial" w:hAnsi="Arial" w:cs="Arial"/>
          <w:sz w:val="22"/>
          <w:szCs w:val="22"/>
        </w:rPr>
        <w:t xml:space="preserve"> as observações apresentadas:</w:t>
      </w:r>
    </w:p>
    <w:p w:rsidR="00D80FE6" w:rsidRPr="002E087B" w:rsidRDefault="00D80FE6" w:rsidP="002E087B">
      <w:pPr>
        <w:pStyle w:val="c03tiretlong"/>
        <w:spacing w:line="276" w:lineRule="auto"/>
        <w:ind w:left="0"/>
        <w:rPr>
          <w:rFonts w:ascii="Arial" w:hAnsi="Arial" w:cs="Arial"/>
          <w:sz w:val="22"/>
          <w:szCs w:val="22"/>
        </w:rPr>
      </w:pPr>
      <w:r w:rsidRPr="002E087B">
        <w:rPr>
          <w:rFonts w:ascii="Arial" w:hAnsi="Arial" w:cs="Arial"/>
          <w:sz w:val="22"/>
          <w:szCs w:val="22"/>
        </w:rPr>
        <w:t xml:space="preserve">– </w:t>
      </w:r>
      <w:proofErr w:type="gramStart"/>
      <w:r w:rsidRPr="002E087B">
        <w:rPr>
          <w:rFonts w:ascii="Arial" w:hAnsi="Arial" w:cs="Arial"/>
          <w:sz w:val="22"/>
          <w:szCs w:val="22"/>
        </w:rPr>
        <w:t>em</w:t>
      </w:r>
      <w:proofErr w:type="gramEnd"/>
      <w:r w:rsidRPr="002E087B">
        <w:rPr>
          <w:rFonts w:ascii="Arial" w:hAnsi="Arial" w:cs="Arial"/>
          <w:sz w:val="22"/>
          <w:szCs w:val="22"/>
        </w:rPr>
        <w:t xml:space="preserve"> representação da T</w:t>
      </w:r>
      <w:r w:rsidRPr="002E087B">
        <w:rPr>
          <w:rFonts w:ascii="Arial" w:hAnsi="Arial" w:cs="Arial"/>
          <w:sz w:val="22"/>
          <w:szCs w:val="22"/>
        </w:rPr>
        <w:noBreakHyphen/>
        <w:t xml:space="preserve">Mobile </w:t>
      </w:r>
      <w:proofErr w:type="spellStart"/>
      <w:r w:rsidRPr="002E087B">
        <w:rPr>
          <w:rFonts w:ascii="Arial" w:hAnsi="Arial" w:cs="Arial"/>
          <w:sz w:val="22"/>
          <w:szCs w:val="22"/>
        </w:rPr>
        <w:t>Netherlands</w:t>
      </w:r>
      <w:proofErr w:type="spellEnd"/>
      <w:r w:rsidRPr="002E087B">
        <w:rPr>
          <w:rFonts w:ascii="Arial" w:hAnsi="Arial" w:cs="Arial"/>
          <w:sz w:val="22"/>
          <w:szCs w:val="22"/>
        </w:rPr>
        <w:t xml:space="preserve"> BV, por I. </w:t>
      </w:r>
      <w:proofErr w:type="spellStart"/>
      <w:r w:rsidRPr="002E087B">
        <w:rPr>
          <w:rFonts w:ascii="Arial" w:hAnsi="Arial" w:cs="Arial"/>
          <w:sz w:val="22"/>
          <w:szCs w:val="22"/>
        </w:rPr>
        <w:t>VerLoren</w:t>
      </w:r>
      <w:proofErr w:type="spellEnd"/>
      <w:r w:rsidRPr="002E087B">
        <w:rPr>
          <w:rFonts w:ascii="Arial" w:hAnsi="Arial" w:cs="Arial"/>
          <w:sz w:val="22"/>
          <w:szCs w:val="22"/>
        </w:rPr>
        <w:t xml:space="preserve"> van </w:t>
      </w:r>
      <w:proofErr w:type="spellStart"/>
      <w:r w:rsidRPr="002E087B">
        <w:rPr>
          <w:rFonts w:ascii="Arial" w:hAnsi="Arial" w:cs="Arial"/>
          <w:sz w:val="22"/>
          <w:szCs w:val="22"/>
        </w:rPr>
        <w:t>Themaat</w:t>
      </w:r>
      <w:proofErr w:type="spellEnd"/>
      <w:r w:rsidRPr="002E087B">
        <w:rPr>
          <w:rFonts w:ascii="Arial" w:hAnsi="Arial" w:cs="Arial"/>
          <w:sz w:val="22"/>
          <w:szCs w:val="22"/>
        </w:rPr>
        <w:t xml:space="preserve"> e V. H. </w:t>
      </w:r>
      <w:proofErr w:type="spellStart"/>
      <w:r w:rsidRPr="002E087B">
        <w:rPr>
          <w:rFonts w:ascii="Arial" w:hAnsi="Arial" w:cs="Arial"/>
          <w:sz w:val="22"/>
          <w:szCs w:val="22"/>
        </w:rPr>
        <w:t>Affourtit</w:t>
      </w:r>
      <w:proofErr w:type="spellEnd"/>
      <w:r w:rsidRPr="002E087B">
        <w:rPr>
          <w:rFonts w:ascii="Arial" w:hAnsi="Arial" w:cs="Arial"/>
          <w:sz w:val="22"/>
          <w:szCs w:val="22"/>
        </w:rPr>
        <w:t xml:space="preserve">, </w:t>
      </w:r>
      <w:proofErr w:type="spellStart"/>
      <w:r w:rsidRPr="002E087B">
        <w:rPr>
          <w:rFonts w:ascii="Arial" w:hAnsi="Arial" w:cs="Arial"/>
          <w:sz w:val="22"/>
          <w:szCs w:val="22"/>
        </w:rPr>
        <w:t>advocaten</w:t>
      </w:r>
      <w:proofErr w:type="spellEnd"/>
      <w:r w:rsidRPr="002E087B">
        <w:rPr>
          <w:rFonts w:ascii="Arial" w:hAnsi="Arial" w:cs="Arial"/>
          <w:sz w:val="22"/>
          <w:szCs w:val="22"/>
        </w:rPr>
        <w:t>,</w:t>
      </w:r>
    </w:p>
    <w:p w:rsidR="00D80FE6" w:rsidRPr="002E087B" w:rsidRDefault="00D80FE6" w:rsidP="002E087B">
      <w:pPr>
        <w:pStyle w:val="c03tiretlong"/>
        <w:spacing w:line="276" w:lineRule="auto"/>
        <w:ind w:left="0"/>
        <w:rPr>
          <w:rFonts w:ascii="Arial" w:hAnsi="Arial" w:cs="Arial"/>
          <w:sz w:val="22"/>
          <w:szCs w:val="22"/>
        </w:rPr>
      </w:pPr>
      <w:r w:rsidRPr="002E087B">
        <w:rPr>
          <w:rFonts w:ascii="Arial" w:hAnsi="Arial" w:cs="Arial"/>
          <w:sz w:val="22"/>
          <w:szCs w:val="22"/>
        </w:rPr>
        <w:t xml:space="preserve">– </w:t>
      </w:r>
      <w:proofErr w:type="gramStart"/>
      <w:r w:rsidRPr="002E087B">
        <w:rPr>
          <w:rFonts w:ascii="Arial" w:hAnsi="Arial" w:cs="Arial"/>
          <w:sz w:val="22"/>
          <w:szCs w:val="22"/>
        </w:rPr>
        <w:t>em</w:t>
      </w:r>
      <w:proofErr w:type="gramEnd"/>
      <w:r w:rsidRPr="002E087B">
        <w:rPr>
          <w:rFonts w:ascii="Arial" w:hAnsi="Arial" w:cs="Arial"/>
          <w:sz w:val="22"/>
          <w:szCs w:val="22"/>
        </w:rPr>
        <w:t xml:space="preserve"> representação da KPN Mobile NV, por B. J. H. </w:t>
      </w:r>
      <w:proofErr w:type="spellStart"/>
      <w:r w:rsidRPr="002E087B">
        <w:rPr>
          <w:rFonts w:ascii="Arial" w:hAnsi="Arial" w:cs="Arial"/>
          <w:sz w:val="22"/>
          <w:szCs w:val="22"/>
        </w:rPr>
        <w:t>Braeken</w:t>
      </w:r>
      <w:proofErr w:type="spellEnd"/>
      <w:r w:rsidRPr="002E087B">
        <w:rPr>
          <w:rFonts w:ascii="Arial" w:hAnsi="Arial" w:cs="Arial"/>
          <w:sz w:val="22"/>
          <w:szCs w:val="22"/>
        </w:rPr>
        <w:t xml:space="preserve"> e P. </w:t>
      </w:r>
      <w:proofErr w:type="spellStart"/>
      <w:r w:rsidRPr="002E087B">
        <w:rPr>
          <w:rFonts w:ascii="Arial" w:hAnsi="Arial" w:cs="Arial"/>
          <w:sz w:val="22"/>
          <w:szCs w:val="22"/>
        </w:rPr>
        <w:t>Glazener</w:t>
      </w:r>
      <w:proofErr w:type="spellEnd"/>
      <w:r w:rsidRPr="002E087B">
        <w:rPr>
          <w:rFonts w:ascii="Arial" w:hAnsi="Arial" w:cs="Arial"/>
          <w:sz w:val="22"/>
          <w:szCs w:val="22"/>
        </w:rPr>
        <w:t xml:space="preserve">, </w:t>
      </w:r>
      <w:proofErr w:type="spellStart"/>
      <w:r w:rsidRPr="002E087B">
        <w:rPr>
          <w:rFonts w:ascii="Arial" w:hAnsi="Arial" w:cs="Arial"/>
          <w:sz w:val="22"/>
          <w:szCs w:val="22"/>
        </w:rPr>
        <w:t>advocaten</w:t>
      </w:r>
      <w:proofErr w:type="spellEnd"/>
      <w:r w:rsidRPr="002E087B">
        <w:rPr>
          <w:rFonts w:ascii="Arial" w:hAnsi="Arial" w:cs="Arial"/>
          <w:sz w:val="22"/>
          <w:szCs w:val="22"/>
        </w:rPr>
        <w:t>,</w:t>
      </w:r>
    </w:p>
    <w:p w:rsidR="00D80FE6" w:rsidRPr="002E087B" w:rsidRDefault="00D80FE6" w:rsidP="002E087B">
      <w:pPr>
        <w:pStyle w:val="c03tiretlong"/>
        <w:spacing w:line="276" w:lineRule="auto"/>
        <w:ind w:left="0"/>
        <w:rPr>
          <w:rFonts w:ascii="Arial" w:hAnsi="Arial" w:cs="Arial"/>
          <w:sz w:val="22"/>
          <w:szCs w:val="22"/>
        </w:rPr>
      </w:pPr>
      <w:r w:rsidRPr="002E087B">
        <w:rPr>
          <w:rFonts w:ascii="Arial" w:hAnsi="Arial" w:cs="Arial"/>
          <w:sz w:val="22"/>
          <w:szCs w:val="22"/>
        </w:rPr>
        <w:t xml:space="preserve">– </w:t>
      </w:r>
      <w:proofErr w:type="gramStart"/>
      <w:r w:rsidRPr="002E087B">
        <w:rPr>
          <w:rFonts w:ascii="Arial" w:hAnsi="Arial" w:cs="Arial"/>
          <w:sz w:val="22"/>
          <w:szCs w:val="22"/>
        </w:rPr>
        <w:t>em</w:t>
      </w:r>
      <w:proofErr w:type="gramEnd"/>
      <w:r w:rsidRPr="002E087B">
        <w:rPr>
          <w:rFonts w:ascii="Arial" w:hAnsi="Arial" w:cs="Arial"/>
          <w:sz w:val="22"/>
          <w:szCs w:val="22"/>
        </w:rPr>
        <w:t xml:space="preserve"> representação da Vodafone </w:t>
      </w:r>
      <w:proofErr w:type="spellStart"/>
      <w:r w:rsidRPr="002E087B">
        <w:rPr>
          <w:rFonts w:ascii="Arial" w:hAnsi="Arial" w:cs="Arial"/>
          <w:sz w:val="22"/>
          <w:szCs w:val="22"/>
        </w:rPr>
        <w:t>Libertel</w:t>
      </w:r>
      <w:proofErr w:type="spellEnd"/>
      <w:r w:rsidRPr="002E087B">
        <w:rPr>
          <w:rFonts w:ascii="Arial" w:hAnsi="Arial" w:cs="Arial"/>
          <w:sz w:val="22"/>
          <w:szCs w:val="22"/>
        </w:rPr>
        <w:t xml:space="preserve"> BV, por G. van der </w:t>
      </w:r>
      <w:proofErr w:type="spellStart"/>
      <w:r w:rsidRPr="002E087B">
        <w:rPr>
          <w:rFonts w:ascii="Arial" w:hAnsi="Arial" w:cs="Arial"/>
          <w:sz w:val="22"/>
          <w:szCs w:val="22"/>
        </w:rPr>
        <w:t>Klis</w:t>
      </w:r>
      <w:proofErr w:type="spellEnd"/>
      <w:r w:rsidRPr="002E087B">
        <w:rPr>
          <w:rFonts w:ascii="Arial" w:hAnsi="Arial" w:cs="Arial"/>
          <w:sz w:val="22"/>
          <w:szCs w:val="22"/>
        </w:rPr>
        <w:t xml:space="preserve">, </w:t>
      </w:r>
      <w:proofErr w:type="spellStart"/>
      <w:r w:rsidRPr="002E087B">
        <w:rPr>
          <w:rFonts w:ascii="Arial" w:hAnsi="Arial" w:cs="Arial"/>
          <w:sz w:val="22"/>
          <w:szCs w:val="22"/>
        </w:rPr>
        <w:t>advocaat</w:t>
      </w:r>
      <w:proofErr w:type="spellEnd"/>
      <w:r w:rsidRPr="002E087B">
        <w:rPr>
          <w:rFonts w:ascii="Arial" w:hAnsi="Arial" w:cs="Arial"/>
          <w:sz w:val="22"/>
          <w:szCs w:val="22"/>
        </w:rPr>
        <w:t>,</w:t>
      </w:r>
    </w:p>
    <w:p w:rsidR="00D80FE6" w:rsidRPr="002E087B" w:rsidRDefault="00D80FE6" w:rsidP="002E087B">
      <w:pPr>
        <w:pStyle w:val="c03tiretlong"/>
        <w:spacing w:line="276" w:lineRule="auto"/>
        <w:ind w:left="0"/>
        <w:rPr>
          <w:rFonts w:ascii="Arial" w:hAnsi="Arial" w:cs="Arial"/>
          <w:sz w:val="22"/>
          <w:szCs w:val="22"/>
        </w:rPr>
      </w:pPr>
      <w:r w:rsidRPr="002E087B">
        <w:rPr>
          <w:rFonts w:ascii="Arial" w:hAnsi="Arial" w:cs="Arial"/>
          <w:sz w:val="22"/>
          <w:szCs w:val="22"/>
        </w:rPr>
        <w:lastRenderedPageBreak/>
        <w:t xml:space="preserve">– </w:t>
      </w:r>
      <w:proofErr w:type="gramStart"/>
      <w:r w:rsidRPr="002E087B">
        <w:rPr>
          <w:rFonts w:ascii="Arial" w:hAnsi="Arial" w:cs="Arial"/>
          <w:sz w:val="22"/>
          <w:szCs w:val="22"/>
        </w:rPr>
        <w:t>em</w:t>
      </w:r>
      <w:proofErr w:type="gramEnd"/>
      <w:r w:rsidRPr="002E087B">
        <w:rPr>
          <w:rFonts w:ascii="Arial" w:hAnsi="Arial" w:cs="Arial"/>
          <w:sz w:val="22"/>
          <w:szCs w:val="22"/>
        </w:rPr>
        <w:t xml:space="preserve"> representação do </w:t>
      </w:r>
      <w:proofErr w:type="spellStart"/>
      <w:r w:rsidRPr="002E087B">
        <w:rPr>
          <w:rFonts w:ascii="Arial" w:hAnsi="Arial" w:cs="Arial"/>
          <w:sz w:val="22"/>
          <w:szCs w:val="22"/>
        </w:rPr>
        <w:t>Raad</w:t>
      </w:r>
      <w:proofErr w:type="spellEnd"/>
      <w:r w:rsidRPr="002E087B">
        <w:rPr>
          <w:rFonts w:ascii="Arial" w:hAnsi="Arial" w:cs="Arial"/>
          <w:sz w:val="22"/>
          <w:szCs w:val="22"/>
        </w:rPr>
        <w:t xml:space="preserve"> van </w:t>
      </w:r>
      <w:proofErr w:type="spellStart"/>
      <w:r w:rsidRPr="002E087B">
        <w:rPr>
          <w:rFonts w:ascii="Arial" w:hAnsi="Arial" w:cs="Arial"/>
          <w:sz w:val="22"/>
          <w:szCs w:val="22"/>
        </w:rPr>
        <w:t>bestuur</w:t>
      </w:r>
      <w:proofErr w:type="spellEnd"/>
      <w:r w:rsidRPr="002E087B">
        <w:rPr>
          <w:rFonts w:ascii="Arial" w:hAnsi="Arial" w:cs="Arial"/>
          <w:sz w:val="22"/>
          <w:szCs w:val="22"/>
        </w:rPr>
        <w:t xml:space="preserve"> van de </w:t>
      </w:r>
      <w:proofErr w:type="spellStart"/>
      <w:r w:rsidRPr="002E087B">
        <w:rPr>
          <w:rFonts w:ascii="Arial" w:hAnsi="Arial" w:cs="Arial"/>
          <w:sz w:val="22"/>
          <w:szCs w:val="22"/>
        </w:rPr>
        <w:t>Nederlandse</w:t>
      </w:r>
      <w:proofErr w:type="spellEnd"/>
      <w:r w:rsidRPr="002E087B">
        <w:rPr>
          <w:rFonts w:ascii="Arial" w:hAnsi="Arial" w:cs="Arial"/>
          <w:sz w:val="22"/>
          <w:szCs w:val="22"/>
        </w:rPr>
        <w:t xml:space="preserve"> </w:t>
      </w:r>
      <w:proofErr w:type="spellStart"/>
      <w:r w:rsidRPr="002E087B">
        <w:rPr>
          <w:rFonts w:ascii="Arial" w:hAnsi="Arial" w:cs="Arial"/>
          <w:sz w:val="22"/>
          <w:szCs w:val="22"/>
        </w:rPr>
        <w:t>Mededingingsautoriteit</w:t>
      </w:r>
      <w:proofErr w:type="spellEnd"/>
      <w:r w:rsidRPr="002E087B">
        <w:rPr>
          <w:rFonts w:ascii="Arial" w:hAnsi="Arial" w:cs="Arial"/>
          <w:sz w:val="22"/>
          <w:szCs w:val="22"/>
        </w:rPr>
        <w:t xml:space="preserve">, por A. </w:t>
      </w:r>
      <w:proofErr w:type="spellStart"/>
      <w:r w:rsidRPr="002E087B">
        <w:rPr>
          <w:rFonts w:ascii="Arial" w:hAnsi="Arial" w:cs="Arial"/>
          <w:sz w:val="22"/>
          <w:szCs w:val="22"/>
        </w:rPr>
        <w:t>Prompers</w:t>
      </w:r>
      <w:proofErr w:type="spellEnd"/>
      <w:r w:rsidRPr="002E087B">
        <w:rPr>
          <w:rFonts w:ascii="Arial" w:hAnsi="Arial" w:cs="Arial"/>
          <w:sz w:val="22"/>
          <w:szCs w:val="22"/>
        </w:rPr>
        <w:t>, na qualidade de agente,</w:t>
      </w:r>
    </w:p>
    <w:p w:rsidR="00D80FE6" w:rsidRPr="002E087B" w:rsidRDefault="00D80FE6" w:rsidP="002E087B">
      <w:pPr>
        <w:pStyle w:val="c03tiretlong"/>
        <w:spacing w:line="276" w:lineRule="auto"/>
        <w:ind w:left="0"/>
        <w:rPr>
          <w:rFonts w:ascii="Arial" w:hAnsi="Arial" w:cs="Arial"/>
          <w:sz w:val="22"/>
          <w:szCs w:val="22"/>
        </w:rPr>
      </w:pPr>
      <w:r w:rsidRPr="002E087B">
        <w:rPr>
          <w:rFonts w:ascii="Arial" w:hAnsi="Arial" w:cs="Arial"/>
          <w:sz w:val="22"/>
          <w:szCs w:val="22"/>
        </w:rPr>
        <w:t xml:space="preserve">– </w:t>
      </w:r>
      <w:proofErr w:type="gramStart"/>
      <w:r w:rsidRPr="002E087B">
        <w:rPr>
          <w:rFonts w:ascii="Arial" w:hAnsi="Arial" w:cs="Arial"/>
          <w:sz w:val="22"/>
          <w:szCs w:val="22"/>
        </w:rPr>
        <w:t>em</w:t>
      </w:r>
      <w:proofErr w:type="gramEnd"/>
      <w:r w:rsidRPr="002E087B">
        <w:rPr>
          <w:rFonts w:ascii="Arial" w:hAnsi="Arial" w:cs="Arial"/>
          <w:sz w:val="22"/>
          <w:szCs w:val="22"/>
        </w:rPr>
        <w:t xml:space="preserve"> representação do Governo neerlandês, por C. </w:t>
      </w:r>
      <w:proofErr w:type="spellStart"/>
      <w:r w:rsidRPr="002E087B">
        <w:rPr>
          <w:rFonts w:ascii="Arial" w:hAnsi="Arial" w:cs="Arial"/>
          <w:sz w:val="22"/>
          <w:szCs w:val="22"/>
        </w:rPr>
        <w:t>Wissels</w:t>
      </w:r>
      <w:proofErr w:type="spellEnd"/>
      <w:r w:rsidRPr="002E087B">
        <w:rPr>
          <w:rFonts w:ascii="Arial" w:hAnsi="Arial" w:cs="Arial"/>
          <w:sz w:val="22"/>
          <w:szCs w:val="22"/>
        </w:rPr>
        <w:t xml:space="preserve">, Y. de </w:t>
      </w:r>
      <w:proofErr w:type="spellStart"/>
      <w:r w:rsidRPr="002E087B">
        <w:rPr>
          <w:rFonts w:ascii="Arial" w:hAnsi="Arial" w:cs="Arial"/>
          <w:sz w:val="22"/>
          <w:szCs w:val="22"/>
        </w:rPr>
        <w:t>Vries</w:t>
      </w:r>
      <w:proofErr w:type="spellEnd"/>
      <w:r w:rsidRPr="002E087B">
        <w:rPr>
          <w:rFonts w:ascii="Arial" w:hAnsi="Arial" w:cs="Arial"/>
          <w:sz w:val="22"/>
          <w:szCs w:val="22"/>
        </w:rPr>
        <w:t xml:space="preserve"> e M. de Grave, na qualidade de agentes,</w:t>
      </w:r>
    </w:p>
    <w:p w:rsidR="00D80FE6" w:rsidRPr="002E087B" w:rsidRDefault="00D80FE6" w:rsidP="002E087B">
      <w:pPr>
        <w:pStyle w:val="c03tiretlong"/>
        <w:spacing w:line="276" w:lineRule="auto"/>
        <w:ind w:left="0"/>
        <w:rPr>
          <w:rFonts w:ascii="Arial" w:hAnsi="Arial" w:cs="Arial"/>
          <w:sz w:val="22"/>
          <w:szCs w:val="22"/>
        </w:rPr>
      </w:pPr>
      <w:r w:rsidRPr="002E087B">
        <w:rPr>
          <w:rFonts w:ascii="Arial" w:hAnsi="Arial" w:cs="Arial"/>
          <w:sz w:val="22"/>
          <w:szCs w:val="22"/>
        </w:rPr>
        <w:t xml:space="preserve">– </w:t>
      </w:r>
      <w:proofErr w:type="gramStart"/>
      <w:r w:rsidRPr="002E087B">
        <w:rPr>
          <w:rFonts w:ascii="Arial" w:hAnsi="Arial" w:cs="Arial"/>
          <w:sz w:val="22"/>
          <w:szCs w:val="22"/>
        </w:rPr>
        <w:t>em</w:t>
      </w:r>
      <w:proofErr w:type="gramEnd"/>
      <w:r w:rsidRPr="002E087B">
        <w:rPr>
          <w:rFonts w:ascii="Arial" w:hAnsi="Arial" w:cs="Arial"/>
          <w:sz w:val="22"/>
          <w:szCs w:val="22"/>
        </w:rPr>
        <w:t xml:space="preserve"> representação da Comissão das Comunidades Europeias, por A. Bouquet e S. </w:t>
      </w:r>
      <w:proofErr w:type="spellStart"/>
      <w:r w:rsidRPr="002E087B">
        <w:rPr>
          <w:rFonts w:ascii="Arial" w:hAnsi="Arial" w:cs="Arial"/>
          <w:sz w:val="22"/>
          <w:szCs w:val="22"/>
        </w:rPr>
        <w:t>Noë</w:t>
      </w:r>
      <w:proofErr w:type="spellEnd"/>
      <w:r w:rsidRPr="002E087B">
        <w:rPr>
          <w:rFonts w:ascii="Arial" w:hAnsi="Arial" w:cs="Arial"/>
          <w:sz w:val="22"/>
          <w:szCs w:val="22"/>
        </w:rPr>
        <w:t>, na qualidade de agentes,</w:t>
      </w:r>
    </w:p>
    <w:p w:rsidR="00D80FE6" w:rsidRPr="002E087B" w:rsidRDefault="00D80FE6" w:rsidP="002E087B">
      <w:pPr>
        <w:pStyle w:val="c02alineaalta"/>
        <w:spacing w:line="276" w:lineRule="auto"/>
        <w:ind w:left="0"/>
        <w:rPr>
          <w:rFonts w:ascii="Arial" w:hAnsi="Arial" w:cs="Arial"/>
          <w:sz w:val="22"/>
          <w:szCs w:val="22"/>
        </w:rPr>
      </w:pPr>
      <w:proofErr w:type="gramStart"/>
      <w:r w:rsidRPr="002E087B">
        <w:rPr>
          <w:rFonts w:ascii="Arial" w:hAnsi="Arial" w:cs="Arial"/>
          <w:sz w:val="22"/>
          <w:szCs w:val="22"/>
        </w:rPr>
        <w:t>ouvidas</w:t>
      </w:r>
      <w:proofErr w:type="gramEnd"/>
      <w:r w:rsidRPr="002E087B">
        <w:rPr>
          <w:rFonts w:ascii="Arial" w:hAnsi="Arial" w:cs="Arial"/>
          <w:sz w:val="22"/>
          <w:szCs w:val="22"/>
        </w:rPr>
        <w:t xml:space="preserve"> as conclusões da advogada</w:t>
      </w:r>
      <w:r w:rsidRPr="002E087B">
        <w:rPr>
          <w:rFonts w:ascii="Arial" w:hAnsi="Arial" w:cs="Arial"/>
          <w:sz w:val="22"/>
          <w:szCs w:val="22"/>
        </w:rPr>
        <w:noBreakHyphen/>
        <w:t>geral na audiência de 19 de Fevereiro de 2009,</w:t>
      </w:r>
    </w:p>
    <w:p w:rsidR="00D80FE6" w:rsidRPr="002E087B" w:rsidRDefault="00D80FE6" w:rsidP="002E087B">
      <w:pPr>
        <w:pStyle w:val="c02alineaalta"/>
        <w:spacing w:line="276" w:lineRule="auto"/>
        <w:ind w:left="0"/>
        <w:rPr>
          <w:rFonts w:ascii="Arial" w:hAnsi="Arial" w:cs="Arial"/>
          <w:sz w:val="22"/>
          <w:szCs w:val="22"/>
        </w:rPr>
      </w:pPr>
      <w:proofErr w:type="gramStart"/>
      <w:r w:rsidRPr="002E087B">
        <w:rPr>
          <w:rFonts w:ascii="Arial" w:hAnsi="Arial" w:cs="Arial"/>
          <w:sz w:val="22"/>
          <w:szCs w:val="22"/>
        </w:rPr>
        <w:t>profere</w:t>
      </w:r>
      <w:proofErr w:type="gramEnd"/>
      <w:r w:rsidRPr="002E087B">
        <w:rPr>
          <w:rFonts w:ascii="Arial" w:hAnsi="Arial" w:cs="Arial"/>
          <w:sz w:val="22"/>
          <w:szCs w:val="22"/>
        </w:rPr>
        <w:t xml:space="preserve"> o presente</w:t>
      </w:r>
    </w:p>
    <w:p w:rsidR="00D80FE6" w:rsidRPr="002E087B" w:rsidRDefault="00D80FE6" w:rsidP="002E087B">
      <w:pPr>
        <w:pStyle w:val="c75debutdesmotifs"/>
        <w:spacing w:line="276" w:lineRule="auto"/>
        <w:ind w:left="0"/>
        <w:rPr>
          <w:rFonts w:ascii="Arial" w:hAnsi="Arial" w:cs="Arial"/>
          <w:sz w:val="22"/>
          <w:szCs w:val="22"/>
        </w:rPr>
      </w:pPr>
      <w:r w:rsidRPr="002E087B">
        <w:rPr>
          <w:rFonts w:ascii="Arial" w:hAnsi="Arial" w:cs="Arial"/>
          <w:sz w:val="22"/>
          <w:szCs w:val="22"/>
        </w:rPr>
        <w:t>Acórdão</w:t>
      </w:r>
    </w:p>
    <w:p w:rsidR="00D80FE6" w:rsidRPr="002E087B" w:rsidRDefault="00D80FE6" w:rsidP="002E087B">
      <w:pPr>
        <w:pStyle w:val="c01pointnumerotealtn"/>
        <w:spacing w:line="276" w:lineRule="auto"/>
        <w:ind w:left="0"/>
        <w:rPr>
          <w:rFonts w:ascii="Arial" w:hAnsi="Arial" w:cs="Arial"/>
          <w:sz w:val="22"/>
          <w:szCs w:val="22"/>
        </w:rPr>
      </w:pPr>
      <w:bookmarkStart w:id="1" w:name="point1"/>
      <w:r w:rsidRPr="002E087B">
        <w:rPr>
          <w:rFonts w:ascii="Arial" w:hAnsi="Arial" w:cs="Arial"/>
          <w:sz w:val="22"/>
          <w:szCs w:val="22"/>
        </w:rPr>
        <w:t>1</w:t>
      </w:r>
      <w:bookmarkEnd w:id="1"/>
      <w:r w:rsidRPr="002E087B">
        <w:rPr>
          <w:rFonts w:ascii="Arial" w:hAnsi="Arial" w:cs="Arial"/>
          <w:sz w:val="22"/>
          <w:szCs w:val="22"/>
        </w:rPr>
        <w:t xml:space="preserve"> O pedido de decisão prejudicial tem por </w:t>
      </w:r>
      <w:proofErr w:type="spellStart"/>
      <w:r w:rsidRPr="002E087B">
        <w:rPr>
          <w:rFonts w:ascii="Arial" w:hAnsi="Arial" w:cs="Arial"/>
          <w:sz w:val="22"/>
          <w:szCs w:val="22"/>
        </w:rPr>
        <w:t>objecto</w:t>
      </w:r>
      <w:proofErr w:type="spellEnd"/>
      <w:r w:rsidRPr="002E087B">
        <w:rPr>
          <w:rFonts w:ascii="Arial" w:hAnsi="Arial" w:cs="Arial"/>
          <w:sz w:val="22"/>
          <w:szCs w:val="22"/>
        </w:rPr>
        <w:t xml:space="preserve"> a interpretação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w:t>
      </w:r>
    </w:p>
    <w:p w:rsidR="00D80FE6" w:rsidRPr="002E087B" w:rsidRDefault="00D80FE6" w:rsidP="002E087B">
      <w:pPr>
        <w:pStyle w:val="c01pointnumerotealtn"/>
        <w:spacing w:line="276" w:lineRule="auto"/>
        <w:ind w:left="0"/>
        <w:rPr>
          <w:rFonts w:ascii="Arial" w:hAnsi="Arial" w:cs="Arial"/>
          <w:sz w:val="22"/>
          <w:szCs w:val="22"/>
        </w:rPr>
      </w:pPr>
      <w:bookmarkStart w:id="2" w:name="point2"/>
      <w:r w:rsidRPr="002E087B">
        <w:rPr>
          <w:rFonts w:ascii="Arial" w:hAnsi="Arial" w:cs="Arial"/>
          <w:sz w:val="22"/>
          <w:szCs w:val="22"/>
        </w:rPr>
        <w:t>2</w:t>
      </w:r>
      <w:bookmarkEnd w:id="2"/>
      <w:r w:rsidRPr="002E087B">
        <w:rPr>
          <w:rFonts w:ascii="Arial" w:hAnsi="Arial" w:cs="Arial"/>
          <w:sz w:val="22"/>
          <w:szCs w:val="22"/>
        </w:rPr>
        <w:t xml:space="preserve"> Este pedido foi apresentado no âmbito de um litígio que opõe a T</w:t>
      </w:r>
      <w:r w:rsidRPr="002E087B">
        <w:rPr>
          <w:rFonts w:ascii="Arial" w:hAnsi="Arial" w:cs="Arial"/>
          <w:sz w:val="22"/>
          <w:szCs w:val="22"/>
        </w:rPr>
        <w:noBreakHyphen/>
        <w:t xml:space="preserve">Mobile </w:t>
      </w:r>
      <w:proofErr w:type="spellStart"/>
      <w:r w:rsidRPr="002E087B">
        <w:rPr>
          <w:rFonts w:ascii="Arial" w:hAnsi="Arial" w:cs="Arial"/>
          <w:sz w:val="22"/>
          <w:szCs w:val="22"/>
        </w:rPr>
        <w:t>Netherlands</w:t>
      </w:r>
      <w:proofErr w:type="spellEnd"/>
      <w:r w:rsidRPr="002E087B">
        <w:rPr>
          <w:rFonts w:ascii="Arial" w:hAnsi="Arial" w:cs="Arial"/>
          <w:sz w:val="22"/>
          <w:szCs w:val="22"/>
        </w:rPr>
        <w:t xml:space="preserve"> BV (a seguir «T</w:t>
      </w:r>
      <w:r w:rsidRPr="002E087B">
        <w:rPr>
          <w:rFonts w:ascii="Arial" w:hAnsi="Arial" w:cs="Arial"/>
          <w:sz w:val="22"/>
          <w:szCs w:val="22"/>
        </w:rPr>
        <w:noBreakHyphen/>
        <w:t xml:space="preserve">Mobile»), a KPN Mobile NV (a seguir «KPN»), a Orange </w:t>
      </w:r>
      <w:proofErr w:type="spellStart"/>
      <w:r w:rsidRPr="002E087B">
        <w:rPr>
          <w:rFonts w:ascii="Arial" w:hAnsi="Arial" w:cs="Arial"/>
          <w:sz w:val="22"/>
          <w:szCs w:val="22"/>
        </w:rPr>
        <w:t>Nederland</w:t>
      </w:r>
      <w:proofErr w:type="spellEnd"/>
      <w:r w:rsidRPr="002E087B">
        <w:rPr>
          <w:rFonts w:ascii="Arial" w:hAnsi="Arial" w:cs="Arial"/>
          <w:sz w:val="22"/>
          <w:szCs w:val="22"/>
        </w:rPr>
        <w:t xml:space="preserve"> NV (a seguir «Orange») e a Vodafone </w:t>
      </w:r>
      <w:proofErr w:type="spellStart"/>
      <w:r w:rsidRPr="002E087B">
        <w:rPr>
          <w:rFonts w:ascii="Arial" w:hAnsi="Arial" w:cs="Arial"/>
          <w:sz w:val="22"/>
          <w:szCs w:val="22"/>
        </w:rPr>
        <w:t>Libertel</w:t>
      </w:r>
      <w:proofErr w:type="spellEnd"/>
      <w:r w:rsidRPr="002E087B">
        <w:rPr>
          <w:rFonts w:ascii="Arial" w:hAnsi="Arial" w:cs="Arial"/>
          <w:sz w:val="22"/>
          <w:szCs w:val="22"/>
        </w:rPr>
        <w:t xml:space="preserve"> NV (a seguir «Vodafone») ao </w:t>
      </w:r>
      <w:proofErr w:type="spellStart"/>
      <w:r w:rsidRPr="002E087B">
        <w:rPr>
          <w:rFonts w:ascii="Arial" w:hAnsi="Arial" w:cs="Arial"/>
          <w:sz w:val="22"/>
          <w:szCs w:val="22"/>
        </w:rPr>
        <w:t>Raad</w:t>
      </w:r>
      <w:proofErr w:type="spellEnd"/>
      <w:r w:rsidRPr="002E087B">
        <w:rPr>
          <w:rFonts w:ascii="Arial" w:hAnsi="Arial" w:cs="Arial"/>
          <w:sz w:val="22"/>
          <w:szCs w:val="22"/>
        </w:rPr>
        <w:t xml:space="preserve"> van </w:t>
      </w:r>
      <w:proofErr w:type="spellStart"/>
      <w:r w:rsidRPr="002E087B">
        <w:rPr>
          <w:rFonts w:ascii="Arial" w:hAnsi="Arial" w:cs="Arial"/>
          <w:sz w:val="22"/>
          <w:szCs w:val="22"/>
        </w:rPr>
        <w:t>bestuur</w:t>
      </w:r>
      <w:proofErr w:type="spellEnd"/>
      <w:r w:rsidRPr="002E087B">
        <w:rPr>
          <w:rFonts w:ascii="Arial" w:hAnsi="Arial" w:cs="Arial"/>
          <w:sz w:val="22"/>
          <w:szCs w:val="22"/>
        </w:rPr>
        <w:t xml:space="preserve"> van de </w:t>
      </w:r>
      <w:proofErr w:type="spellStart"/>
      <w:r w:rsidRPr="002E087B">
        <w:rPr>
          <w:rFonts w:ascii="Arial" w:hAnsi="Arial" w:cs="Arial"/>
          <w:sz w:val="22"/>
          <w:szCs w:val="22"/>
        </w:rPr>
        <w:t>Nederlandse</w:t>
      </w:r>
      <w:proofErr w:type="spellEnd"/>
      <w:r w:rsidRPr="002E087B">
        <w:rPr>
          <w:rFonts w:ascii="Arial" w:hAnsi="Arial" w:cs="Arial"/>
          <w:sz w:val="22"/>
          <w:szCs w:val="22"/>
        </w:rPr>
        <w:t xml:space="preserve"> </w:t>
      </w:r>
      <w:proofErr w:type="spellStart"/>
      <w:r w:rsidRPr="002E087B">
        <w:rPr>
          <w:rFonts w:ascii="Arial" w:hAnsi="Arial" w:cs="Arial"/>
          <w:sz w:val="22"/>
          <w:szCs w:val="22"/>
        </w:rPr>
        <w:t>Mededingingsautoriteit</w:t>
      </w:r>
      <w:proofErr w:type="spellEnd"/>
      <w:r w:rsidRPr="002E087B">
        <w:rPr>
          <w:rFonts w:ascii="Arial" w:hAnsi="Arial" w:cs="Arial"/>
          <w:sz w:val="22"/>
          <w:szCs w:val="22"/>
        </w:rPr>
        <w:t xml:space="preserve"> (Autoridade da Concorrência dos Países Baixos, a seguir «</w:t>
      </w:r>
      <w:proofErr w:type="spellStart"/>
      <w:r w:rsidRPr="002E087B">
        <w:rPr>
          <w:rFonts w:ascii="Arial" w:hAnsi="Arial" w:cs="Arial"/>
          <w:sz w:val="22"/>
          <w:szCs w:val="22"/>
        </w:rPr>
        <w:t>NMa</w:t>
      </w:r>
      <w:proofErr w:type="spellEnd"/>
      <w:r w:rsidRPr="002E087B">
        <w:rPr>
          <w:rFonts w:ascii="Arial" w:hAnsi="Arial" w:cs="Arial"/>
          <w:sz w:val="22"/>
          <w:szCs w:val="22"/>
        </w:rPr>
        <w:t xml:space="preserve">»), a respeito das coimas que esta aplicou a essas empresas por terem infringido os artigos 81.° CE e 6.°,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da Lei da Concorrência (</w:t>
      </w:r>
      <w:proofErr w:type="spellStart"/>
      <w:r w:rsidRPr="002E087B">
        <w:rPr>
          <w:rFonts w:ascii="Arial" w:hAnsi="Arial" w:cs="Arial"/>
          <w:sz w:val="22"/>
          <w:szCs w:val="22"/>
        </w:rPr>
        <w:t>Mededingingswet</w:t>
      </w:r>
      <w:proofErr w:type="spellEnd"/>
      <w:r w:rsidRPr="002E087B">
        <w:rPr>
          <w:rFonts w:ascii="Arial" w:hAnsi="Arial" w:cs="Arial"/>
          <w:sz w:val="22"/>
          <w:szCs w:val="22"/>
        </w:rPr>
        <w:t>), na versão resultante da Lei que a alterou (</w:t>
      </w:r>
      <w:proofErr w:type="spellStart"/>
      <w:r w:rsidRPr="002E087B">
        <w:rPr>
          <w:rFonts w:ascii="Arial" w:hAnsi="Arial" w:cs="Arial"/>
          <w:sz w:val="22"/>
          <w:szCs w:val="22"/>
        </w:rPr>
        <w:t>Wet</w:t>
      </w:r>
      <w:proofErr w:type="spellEnd"/>
      <w:r w:rsidRPr="002E087B">
        <w:rPr>
          <w:rFonts w:ascii="Arial" w:hAnsi="Arial" w:cs="Arial"/>
          <w:sz w:val="22"/>
          <w:szCs w:val="22"/>
        </w:rPr>
        <w:t xml:space="preserve"> </w:t>
      </w:r>
      <w:proofErr w:type="spellStart"/>
      <w:r w:rsidRPr="002E087B">
        <w:rPr>
          <w:rFonts w:ascii="Arial" w:hAnsi="Arial" w:cs="Arial"/>
          <w:sz w:val="22"/>
          <w:szCs w:val="22"/>
        </w:rPr>
        <w:t>houdende</w:t>
      </w:r>
      <w:proofErr w:type="spellEnd"/>
      <w:r w:rsidRPr="002E087B">
        <w:rPr>
          <w:rFonts w:ascii="Arial" w:hAnsi="Arial" w:cs="Arial"/>
          <w:sz w:val="22"/>
          <w:szCs w:val="22"/>
        </w:rPr>
        <w:t xml:space="preserve"> </w:t>
      </w:r>
      <w:proofErr w:type="spellStart"/>
      <w:r w:rsidRPr="002E087B">
        <w:rPr>
          <w:rFonts w:ascii="Arial" w:hAnsi="Arial" w:cs="Arial"/>
          <w:sz w:val="22"/>
          <w:szCs w:val="22"/>
        </w:rPr>
        <w:t>wijziging</w:t>
      </w:r>
      <w:proofErr w:type="spellEnd"/>
      <w:r w:rsidRPr="002E087B">
        <w:rPr>
          <w:rFonts w:ascii="Arial" w:hAnsi="Arial" w:cs="Arial"/>
          <w:sz w:val="22"/>
          <w:szCs w:val="22"/>
        </w:rPr>
        <w:t xml:space="preserve"> van de </w:t>
      </w:r>
      <w:proofErr w:type="spellStart"/>
      <w:r w:rsidRPr="002E087B">
        <w:rPr>
          <w:rFonts w:ascii="Arial" w:hAnsi="Arial" w:cs="Arial"/>
          <w:sz w:val="22"/>
          <w:szCs w:val="22"/>
        </w:rPr>
        <w:t>Mededingingswet</w:t>
      </w:r>
      <w:proofErr w:type="spellEnd"/>
      <w:r w:rsidRPr="002E087B">
        <w:rPr>
          <w:rFonts w:ascii="Arial" w:hAnsi="Arial" w:cs="Arial"/>
          <w:sz w:val="22"/>
          <w:szCs w:val="22"/>
        </w:rPr>
        <w:t>), de 9 de Dezembro de 2004 (a seguir «</w:t>
      </w:r>
      <w:proofErr w:type="spellStart"/>
      <w:r w:rsidRPr="002E087B">
        <w:rPr>
          <w:rFonts w:ascii="Arial" w:hAnsi="Arial" w:cs="Arial"/>
          <w:sz w:val="22"/>
          <w:szCs w:val="22"/>
        </w:rPr>
        <w:t>Mw</w:t>
      </w:r>
      <w:proofErr w:type="spellEnd"/>
      <w:r w:rsidRPr="002E087B">
        <w:rPr>
          <w:rFonts w:ascii="Arial" w:hAnsi="Arial" w:cs="Arial"/>
          <w:sz w:val="22"/>
          <w:szCs w:val="22"/>
        </w:rPr>
        <w:t>»).</w:t>
      </w:r>
    </w:p>
    <w:p w:rsidR="00D80FE6" w:rsidRPr="002E087B" w:rsidRDefault="00D80FE6" w:rsidP="002E087B">
      <w:pPr>
        <w:pStyle w:val="c21titre1"/>
        <w:spacing w:line="276" w:lineRule="auto"/>
        <w:rPr>
          <w:rFonts w:ascii="Arial" w:hAnsi="Arial" w:cs="Arial"/>
          <w:sz w:val="22"/>
          <w:szCs w:val="22"/>
        </w:rPr>
      </w:pPr>
      <w:r w:rsidRPr="002E087B">
        <w:rPr>
          <w:rFonts w:ascii="Arial" w:hAnsi="Arial" w:cs="Arial"/>
          <w:sz w:val="22"/>
          <w:szCs w:val="22"/>
        </w:rPr>
        <w:t xml:space="preserve">I – </w:t>
      </w:r>
      <w:r w:rsidRPr="002E087B">
        <w:rPr>
          <w:rFonts w:ascii="Arial" w:hAnsi="Arial" w:cs="Arial"/>
          <w:b/>
          <w:bCs/>
          <w:sz w:val="22"/>
          <w:szCs w:val="22"/>
        </w:rPr>
        <w:t>Quadro jurídico</w:t>
      </w:r>
    </w:p>
    <w:p w:rsidR="00D80FE6" w:rsidRPr="002E087B" w:rsidRDefault="00D80FE6" w:rsidP="002E087B">
      <w:pPr>
        <w:pStyle w:val="c05titre2"/>
        <w:spacing w:line="276" w:lineRule="auto"/>
        <w:ind w:left="0"/>
        <w:rPr>
          <w:rFonts w:ascii="Arial" w:hAnsi="Arial" w:cs="Arial"/>
          <w:sz w:val="22"/>
          <w:szCs w:val="22"/>
        </w:rPr>
      </w:pPr>
      <w:r w:rsidRPr="002E087B">
        <w:rPr>
          <w:rFonts w:ascii="Arial" w:hAnsi="Arial" w:cs="Arial"/>
          <w:sz w:val="22"/>
          <w:szCs w:val="22"/>
        </w:rPr>
        <w:t>Regulamentação comunitária</w:t>
      </w:r>
    </w:p>
    <w:p w:rsidR="00D80FE6" w:rsidRPr="002E087B" w:rsidRDefault="00D80FE6" w:rsidP="002E087B">
      <w:pPr>
        <w:pStyle w:val="c01pointnumerotealtn"/>
        <w:spacing w:line="276" w:lineRule="auto"/>
        <w:ind w:left="0"/>
        <w:rPr>
          <w:rFonts w:ascii="Arial" w:hAnsi="Arial" w:cs="Arial"/>
          <w:sz w:val="22"/>
          <w:szCs w:val="22"/>
        </w:rPr>
      </w:pPr>
      <w:bookmarkStart w:id="3" w:name="point3"/>
      <w:r w:rsidRPr="002E087B">
        <w:rPr>
          <w:rFonts w:ascii="Arial" w:hAnsi="Arial" w:cs="Arial"/>
          <w:sz w:val="22"/>
          <w:szCs w:val="22"/>
        </w:rPr>
        <w:t>3</w:t>
      </w:r>
      <w:bookmarkEnd w:id="3"/>
      <w:r w:rsidRPr="002E087B">
        <w:rPr>
          <w:rFonts w:ascii="Arial" w:hAnsi="Arial" w:cs="Arial"/>
          <w:sz w:val="22"/>
          <w:szCs w:val="22"/>
        </w:rPr>
        <w:t xml:space="preserve"> O quinto considerando do Regulamento (CE) </w:t>
      </w:r>
      <w:proofErr w:type="spellStart"/>
      <w:r w:rsidRPr="002E087B">
        <w:rPr>
          <w:rFonts w:ascii="Arial" w:hAnsi="Arial" w:cs="Arial"/>
          <w:sz w:val="22"/>
          <w:szCs w:val="22"/>
        </w:rPr>
        <w:t>n.°</w:t>
      </w:r>
      <w:proofErr w:type="spellEnd"/>
      <w:r w:rsidRPr="002E087B">
        <w:rPr>
          <w:rFonts w:ascii="Arial" w:hAnsi="Arial" w:cs="Arial"/>
          <w:sz w:val="22"/>
          <w:szCs w:val="22"/>
        </w:rPr>
        <w:t xml:space="preserve"> 1/2003 </w:t>
      </w:r>
      <w:proofErr w:type="gramStart"/>
      <w:r w:rsidRPr="002E087B">
        <w:rPr>
          <w:rFonts w:ascii="Arial" w:hAnsi="Arial" w:cs="Arial"/>
          <w:sz w:val="22"/>
          <w:szCs w:val="22"/>
        </w:rPr>
        <w:t>do</w:t>
      </w:r>
      <w:proofErr w:type="gramEnd"/>
      <w:r w:rsidRPr="002E087B">
        <w:rPr>
          <w:rFonts w:ascii="Arial" w:hAnsi="Arial" w:cs="Arial"/>
          <w:sz w:val="22"/>
          <w:szCs w:val="22"/>
        </w:rPr>
        <w:t xml:space="preserve"> Conselho, de 16 de Dezembro de 2002, relativo à execução das regras de concorrência estabelecidas nos artigos 81.° </w:t>
      </w:r>
      <w:proofErr w:type="gramStart"/>
      <w:r w:rsidRPr="002E087B">
        <w:rPr>
          <w:rFonts w:ascii="Arial" w:hAnsi="Arial" w:cs="Arial"/>
          <w:sz w:val="22"/>
          <w:szCs w:val="22"/>
        </w:rPr>
        <w:t>e</w:t>
      </w:r>
      <w:proofErr w:type="gramEnd"/>
      <w:r w:rsidRPr="002E087B">
        <w:rPr>
          <w:rFonts w:ascii="Arial" w:hAnsi="Arial" w:cs="Arial"/>
          <w:sz w:val="22"/>
          <w:szCs w:val="22"/>
        </w:rPr>
        <w:t xml:space="preserve"> 82.° </w:t>
      </w:r>
      <w:proofErr w:type="gramStart"/>
      <w:r w:rsidRPr="002E087B">
        <w:rPr>
          <w:rFonts w:ascii="Arial" w:hAnsi="Arial" w:cs="Arial"/>
          <w:sz w:val="22"/>
          <w:szCs w:val="22"/>
        </w:rPr>
        <w:t>do</w:t>
      </w:r>
      <w:proofErr w:type="gramEnd"/>
      <w:r w:rsidRPr="002E087B">
        <w:rPr>
          <w:rFonts w:ascii="Arial" w:hAnsi="Arial" w:cs="Arial"/>
          <w:sz w:val="22"/>
          <w:szCs w:val="22"/>
        </w:rPr>
        <w:t xml:space="preserve"> Tratado (JO L 1, p. 1), dispõe:</w:t>
      </w:r>
    </w:p>
    <w:p w:rsidR="00D80FE6" w:rsidRPr="002E087B" w:rsidRDefault="00D80FE6" w:rsidP="002E087B">
      <w:pPr>
        <w:pStyle w:val="c02alineaalta"/>
        <w:spacing w:line="276" w:lineRule="auto"/>
        <w:ind w:left="0"/>
        <w:rPr>
          <w:rFonts w:ascii="Arial" w:hAnsi="Arial" w:cs="Arial"/>
          <w:sz w:val="22"/>
          <w:szCs w:val="22"/>
        </w:rPr>
      </w:pPr>
      <w:r w:rsidRPr="002E087B">
        <w:rPr>
          <w:rFonts w:ascii="Arial" w:hAnsi="Arial" w:cs="Arial"/>
          <w:sz w:val="22"/>
          <w:szCs w:val="22"/>
        </w:rPr>
        <w:t xml:space="preserve">«A fim de assegurar uma aplicação eficaz das regras comunitárias de concorrência, salvaguardando simultaneamente a observância dos direitos fundamentais da defesa, o presente regulamento deverá regular a questão do ónus da prova ao abrigo dos artigos 81.° </w:t>
      </w:r>
      <w:proofErr w:type="gramStart"/>
      <w:r w:rsidRPr="002E087B">
        <w:rPr>
          <w:rFonts w:ascii="Arial" w:hAnsi="Arial" w:cs="Arial"/>
          <w:sz w:val="22"/>
          <w:szCs w:val="22"/>
        </w:rPr>
        <w:t>e</w:t>
      </w:r>
      <w:proofErr w:type="gramEnd"/>
      <w:r w:rsidRPr="002E087B">
        <w:rPr>
          <w:rFonts w:ascii="Arial" w:hAnsi="Arial" w:cs="Arial"/>
          <w:sz w:val="22"/>
          <w:szCs w:val="22"/>
        </w:rPr>
        <w:t xml:space="preserve"> 82.° [CE]. […] O presente regulamento não </w:t>
      </w:r>
      <w:proofErr w:type="spellStart"/>
      <w:r w:rsidRPr="002E087B">
        <w:rPr>
          <w:rFonts w:ascii="Arial" w:hAnsi="Arial" w:cs="Arial"/>
          <w:sz w:val="22"/>
          <w:szCs w:val="22"/>
        </w:rPr>
        <w:t>afecta</w:t>
      </w:r>
      <w:proofErr w:type="spellEnd"/>
      <w:r w:rsidRPr="002E087B">
        <w:rPr>
          <w:rFonts w:ascii="Arial" w:hAnsi="Arial" w:cs="Arial"/>
          <w:sz w:val="22"/>
          <w:szCs w:val="22"/>
        </w:rPr>
        <w:t xml:space="preserve"> as regras nacionais relativas ao nível da prova nem as obrigações das autoridades responsáveis em matéria de concorrência e dos tribunais dos Estados</w:t>
      </w:r>
      <w:r w:rsidRPr="002E087B">
        <w:rPr>
          <w:rFonts w:ascii="Arial" w:hAnsi="Arial" w:cs="Arial"/>
          <w:sz w:val="22"/>
          <w:szCs w:val="22"/>
        </w:rPr>
        <w:noBreakHyphen/>
        <w:t>Membros de avaliarem os factos pertinentes relativos a um processo, desde que tais regras e obrigações sejam compatíveis com os princípios gerais do direito comunitário.»</w:t>
      </w:r>
    </w:p>
    <w:p w:rsidR="00D80FE6" w:rsidRPr="002E087B" w:rsidRDefault="00D80FE6" w:rsidP="002E087B">
      <w:pPr>
        <w:pStyle w:val="c01pointnumerotealtn"/>
        <w:spacing w:line="276" w:lineRule="auto"/>
        <w:ind w:left="0"/>
        <w:rPr>
          <w:rFonts w:ascii="Arial" w:hAnsi="Arial" w:cs="Arial"/>
          <w:sz w:val="22"/>
          <w:szCs w:val="22"/>
        </w:rPr>
      </w:pPr>
      <w:bookmarkStart w:id="4" w:name="point4"/>
      <w:r w:rsidRPr="002E087B">
        <w:rPr>
          <w:rFonts w:ascii="Arial" w:hAnsi="Arial" w:cs="Arial"/>
          <w:sz w:val="22"/>
          <w:szCs w:val="22"/>
        </w:rPr>
        <w:t>4</w:t>
      </w:r>
      <w:bookmarkEnd w:id="4"/>
      <w:r w:rsidRPr="002E087B">
        <w:rPr>
          <w:rFonts w:ascii="Arial" w:hAnsi="Arial" w:cs="Arial"/>
          <w:sz w:val="22"/>
          <w:szCs w:val="22"/>
        </w:rPr>
        <w:t xml:space="preserve"> O artigo 2.° </w:t>
      </w:r>
      <w:proofErr w:type="gramStart"/>
      <w:r w:rsidRPr="002E087B">
        <w:rPr>
          <w:rFonts w:ascii="Arial" w:hAnsi="Arial" w:cs="Arial"/>
          <w:sz w:val="22"/>
          <w:szCs w:val="22"/>
        </w:rPr>
        <w:t>do</w:t>
      </w:r>
      <w:proofErr w:type="gramEnd"/>
      <w:r w:rsidRPr="002E087B">
        <w:rPr>
          <w:rFonts w:ascii="Arial" w:hAnsi="Arial" w:cs="Arial"/>
          <w:sz w:val="22"/>
          <w:szCs w:val="22"/>
        </w:rPr>
        <w:t xml:space="preserve"> referido regulamento, intitulado «Ónus da prova», dispõe:</w:t>
      </w:r>
    </w:p>
    <w:p w:rsidR="00D80FE6" w:rsidRPr="002E087B" w:rsidRDefault="00D80FE6" w:rsidP="002E087B">
      <w:pPr>
        <w:pStyle w:val="c02alineaalta"/>
        <w:spacing w:line="276" w:lineRule="auto"/>
        <w:ind w:left="0"/>
        <w:rPr>
          <w:rFonts w:ascii="Arial" w:hAnsi="Arial" w:cs="Arial"/>
          <w:sz w:val="22"/>
          <w:szCs w:val="22"/>
        </w:rPr>
      </w:pPr>
      <w:r w:rsidRPr="002E087B">
        <w:rPr>
          <w:rFonts w:ascii="Arial" w:hAnsi="Arial" w:cs="Arial"/>
          <w:sz w:val="22"/>
          <w:szCs w:val="22"/>
        </w:rPr>
        <w:lastRenderedPageBreak/>
        <w:t xml:space="preserve">«Em todos os processos nacionais e comunitários de aplicação dos artigos 81.° </w:t>
      </w:r>
      <w:proofErr w:type="gramStart"/>
      <w:r w:rsidRPr="002E087B">
        <w:rPr>
          <w:rFonts w:ascii="Arial" w:hAnsi="Arial" w:cs="Arial"/>
          <w:sz w:val="22"/>
          <w:szCs w:val="22"/>
        </w:rPr>
        <w:t>e</w:t>
      </w:r>
      <w:proofErr w:type="gramEnd"/>
      <w:r w:rsidRPr="002E087B">
        <w:rPr>
          <w:rFonts w:ascii="Arial" w:hAnsi="Arial" w:cs="Arial"/>
          <w:sz w:val="22"/>
          <w:szCs w:val="22"/>
        </w:rPr>
        <w:t xml:space="preserve"> 82.° </w:t>
      </w:r>
      <w:proofErr w:type="gramStart"/>
      <w:r w:rsidRPr="002E087B">
        <w:rPr>
          <w:rFonts w:ascii="Arial" w:hAnsi="Arial" w:cs="Arial"/>
          <w:sz w:val="22"/>
          <w:szCs w:val="22"/>
        </w:rPr>
        <w:t>do</w:t>
      </w:r>
      <w:proofErr w:type="gramEnd"/>
      <w:r w:rsidRPr="002E087B">
        <w:rPr>
          <w:rFonts w:ascii="Arial" w:hAnsi="Arial" w:cs="Arial"/>
          <w:sz w:val="22"/>
          <w:szCs w:val="22"/>
        </w:rPr>
        <w:t xml:space="preserve"> Tratado, o ónus da prova de uma violação do </w:t>
      </w:r>
      <w:proofErr w:type="spellStart"/>
      <w:r w:rsidRPr="002E087B">
        <w:rPr>
          <w:rFonts w:ascii="Arial" w:hAnsi="Arial" w:cs="Arial"/>
          <w:sz w:val="22"/>
          <w:szCs w:val="22"/>
        </w:rPr>
        <w:t>n.°</w:t>
      </w:r>
      <w:proofErr w:type="spellEnd"/>
      <w:r w:rsidRPr="002E087B">
        <w:rPr>
          <w:rFonts w:ascii="Arial" w:hAnsi="Arial" w:cs="Arial"/>
          <w:sz w:val="22"/>
          <w:szCs w:val="22"/>
        </w:rPr>
        <w:t xml:space="preserve"> 1 </w:t>
      </w:r>
      <w:proofErr w:type="gramStart"/>
      <w:r w:rsidRPr="002E087B">
        <w:rPr>
          <w:rFonts w:ascii="Arial" w:hAnsi="Arial" w:cs="Arial"/>
          <w:sz w:val="22"/>
          <w:szCs w:val="22"/>
        </w:rPr>
        <w:t>do</w:t>
      </w:r>
      <w:proofErr w:type="gramEnd"/>
      <w:r w:rsidRPr="002E087B">
        <w:rPr>
          <w:rFonts w:ascii="Arial" w:hAnsi="Arial" w:cs="Arial"/>
          <w:sz w:val="22"/>
          <w:szCs w:val="22"/>
        </w:rPr>
        <w:t xml:space="preserve"> artigo 81.° </w:t>
      </w:r>
      <w:proofErr w:type="gramStart"/>
      <w:r w:rsidRPr="002E087B">
        <w:rPr>
          <w:rFonts w:ascii="Arial" w:hAnsi="Arial" w:cs="Arial"/>
          <w:sz w:val="22"/>
          <w:szCs w:val="22"/>
        </w:rPr>
        <w:t>ou</w:t>
      </w:r>
      <w:proofErr w:type="gramEnd"/>
      <w:r w:rsidRPr="002E087B">
        <w:rPr>
          <w:rFonts w:ascii="Arial" w:hAnsi="Arial" w:cs="Arial"/>
          <w:sz w:val="22"/>
          <w:szCs w:val="22"/>
        </w:rPr>
        <w:t xml:space="preserve"> do artigo 82.° </w:t>
      </w:r>
      <w:proofErr w:type="gramStart"/>
      <w:r w:rsidRPr="002E087B">
        <w:rPr>
          <w:rFonts w:ascii="Arial" w:hAnsi="Arial" w:cs="Arial"/>
          <w:sz w:val="22"/>
          <w:szCs w:val="22"/>
        </w:rPr>
        <w:t>do</w:t>
      </w:r>
      <w:proofErr w:type="gramEnd"/>
      <w:r w:rsidRPr="002E087B">
        <w:rPr>
          <w:rFonts w:ascii="Arial" w:hAnsi="Arial" w:cs="Arial"/>
          <w:sz w:val="22"/>
          <w:szCs w:val="22"/>
        </w:rPr>
        <w:t xml:space="preserve"> Tratado incumbe à parte ou à autoridade que alega tal violação. […]»</w:t>
      </w:r>
    </w:p>
    <w:p w:rsidR="00D80FE6" w:rsidRPr="002E087B" w:rsidRDefault="00D80FE6" w:rsidP="002E087B">
      <w:pPr>
        <w:pStyle w:val="c01pointnumerotealtn"/>
        <w:spacing w:line="276" w:lineRule="auto"/>
        <w:ind w:left="0"/>
        <w:rPr>
          <w:rFonts w:ascii="Arial" w:hAnsi="Arial" w:cs="Arial"/>
          <w:sz w:val="22"/>
          <w:szCs w:val="22"/>
        </w:rPr>
      </w:pPr>
      <w:bookmarkStart w:id="5" w:name="point5"/>
      <w:r w:rsidRPr="002E087B">
        <w:rPr>
          <w:rFonts w:ascii="Arial" w:hAnsi="Arial" w:cs="Arial"/>
          <w:sz w:val="22"/>
          <w:szCs w:val="22"/>
        </w:rPr>
        <w:t>5</w:t>
      </w:r>
      <w:bookmarkEnd w:id="5"/>
      <w:r w:rsidRPr="002E087B">
        <w:rPr>
          <w:rFonts w:ascii="Arial" w:hAnsi="Arial" w:cs="Arial"/>
          <w:sz w:val="22"/>
          <w:szCs w:val="22"/>
        </w:rPr>
        <w:t xml:space="preserve"> O artigo 3.°, </w:t>
      </w:r>
      <w:proofErr w:type="spellStart"/>
      <w:proofErr w:type="gramStart"/>
      <w:r w:rsidRPr="002E087B">
        <w:rPr>
          <w:rFonts w:ascii="Arial" w:hAnsi="Arial" w:cs="Arial"/>
          <w:sz w:val="22"/>
          <w:szCs w:val="22"/>
        </w:rPr>
        <w:t>n.</w:t>
      </w:r>
      <w:r w:rsidRPr="002E087B">
        <w:rPr>
          <w:rFonts w:ascii="Arial" w:hAnsi="Arial" w:cs="Arial"/>
          <w:sz w:val="22"/>
          <w:szCs w:val="22"/>
          <w:vertAlign w:val="superscript"/>
        </w:rPr>
        <w:t>os</w:t>
      </w:r>
      <w:proofErr w:type="spellEnd"/>
      <w:proofErr w:type="gramEnd"/>
      <w:r w:rsidRPr="002E087B">
        <w:rPr>
          <w:rFonts w:ascii="Arial" w:hAnsi="Arial" w:cs="Arial"/>
          <w:sz w:val="22"/>
          <w:szCs w:val="22"/>
        </w:rPr>
        <w:t xml:space="preserve"> 1 e 2, do mesmo regulamento prevê:</w:t>
      </w:r>
    </w:p>
    <w:p w:rsidR="00D80FE6" w:rsidRPr="002E087B" w:rsidRDefault="00D80FE6" w:rsidP="002E087B">
      <w:pPr>
        <w:pStyle w:val="c02alineaalta"/>
        <w:spacing w:line="276" w:lineRule="auto"/>
        <w:ind w:left="0"/>
        <w:rPr>
          <w:rFonts w:ascii="Arial" w:hAnsi="Arial" w:cs="Arial"/>
          <w:sz w:val="22"/>
          <w:szCs w:val="22"/>
        </w:rPr>
      </w:pPr>
      <w:r w:rsidRPr="002E087B">
        <w:rPr>
          <w:rFonts w:ascii="Arial" w:hAnsi="Arial" w:cs="Arial"/>
          <w:sz w:val="22"/>
          <w:szCs w:val="22"/>
        </w:rPr>
        <w:t>«1. Sempre que as autoridades dos Estados</w:t>
      </w:r>
      <w:r w:rsidRPr="002E087B">
        <w:rPr>
          <w:rFonts w:ascii="Arial" w:hAnsi="Arial" w:cs="Arial"/>
          <w:sz w:val="22"/>
          <w:szCs w:val="22"/>
        </w:rPr>
        <w:noBreakHyphen/>
        <w:t xml:space="preserve">Membros </w:t>
      </w:r>
      <w:proofErr w:type="gramStart"/>
      <w:r w:rsidRPr="002E087B">
        <w:rPr>
          <w:rFonts w:ascii="Arial" w:hAnsi="Arial" w:cs="Arial"/>
          <w:sz w:val="22"/>
          <w:szCs w:val="22"/>
        </w:rPr>
        <w:t>responsáveis</w:t>
      </w:r>
      <w:proofErr w:type="gramEnd"/>
      <w:r w:rsidRPr="002E087B">
        <w:rPr>
          <w:rFonts w:ascii="Arial" w:hAnsi="Arial" w:cs="Arial"/>
          <w:sz w:val="22"/>
          <w:szCs w:val="22"/>
        </w:rPr>
        <w:t xml:space="preserve"> em matéria de concorrência ou os tribunais nacionais apliquem a legislação nacional em matéria de concorrência a acordos, decisões de associação ou práticas concertadas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w:t>
      </w:r>
      <w:proofErr w:type="spellStart"/>
      <w:r w:rsidRPr="002E087B">
        <w:rPr>
          <w:rFonts w:ascii="Arial" w:hAnsi="Arial" w:cs="Arial"/>
          <w:sz w:val="22"/>
          <w:szCs w:val="22"/>
        </w:rPr>
        <w:t>n.°</w:t>
      </w:r>
      <w:proofErr w:type="spellEnd"/>
      <w:r w:rsidRPr="002E087B">
        <w:rPr>
          <w:rFonts w:ascii="Arial" w:hAnsi="Arial" w:cs="Arial"/>
          <w:sz w:val="22"/>
          <w:szCs w:val="22"/>
        </w:rPr>
        <w:t xml:space="preserve"> 1 </w:t>
      </w:r>
      <w:proofErr w:type="gramStart"/>
      <w:r w:rsidRPr="002E087B">
        <w:rPr>
          <w:rFonts w:ascii="Arial" w:hAnsi="Arial" w:cs="Arial"/>
          <w:sz w:val="22"/>
          <w:szCs w:val="22"/>
        </w:rPr>
        <w:t>do</w:t>
      </w:r>
      <w:proofErr w:type="gramEnd"/>
      <w:r w:rsidRPr="002E087B">
        <w:rPr>
          <w:rFonts w:ascii="Arial" w:hAnsi="Arial" w:cs="Arial"/>
          <w:sz w:val="22"/>
          <w:szCs w:val="22"/>
        </w:rPr>
        <w:t xml:space="preserve"> artigo 81.° </w:t>
      </w:r>
      <w:proofErr w:type="gramStart"/>
      <w:r w:rsidRPr="002E087B">
        <w:rPr>
          <w:rFonts w:ascii="Arial" w:hAnsi="Arial" w:cs="Arial"/>
          <w:sz w:val="22"/>
          <w:szCs w:val="22"/>
        </w:rPr>
        <w:t>do</w:t>
      </w:r>
      <w:proofErr w:type="gramEnd"/>
      <w:r w:rsidRPr="002E087B">
        <w:rPr>
          <w:rFonts w:ascii="Arial" w:hAnsi="Arial" w:cs="Arial"/>
          <w:sz w:val="22"/>
          <w:szCs w:val="22"/>
        </w:rPr>
        <w:t xml:space="preserve"> Tratado, </w:t>
      </w:r>
      <w:proofErr w:type="spellStart"/>
      <w:r w:rsidRPr="002E087B">
        <w:rPr>
          <w:rFonts w:ascii="Arial" w:hAnsi="Arial" w:cs="Arial"/>
          <w:sz w:val="22"/>
          <w:szCs w:val="22"/>
        </w:rPr>
        <w:t>susceptíveis</w:t>
      </w:r>
      <w:proofErr w:type="spellEnd"/>
      <w:r w:rsidRPr="002E087B">
        <w:rPr>
          <w:rFonts w:ascii="Arial" w:hAnsi="Arial" w:cs="Arial"/>
          <w:sz w:val="22"/>
          <w:szCs w:val="22"/>
        </w:rPr>
        <w:t xml:space="preserve"> de </w:t>
      </w:r>
      <w:proofErr w:type="spellStart"/>
      <w:r w:rsidRPr="002E087B">
        <w:rPr>
          <w:rFonts w:ascii="Arial" w:hAnsi="Arial" w:cs="Arial"/>
          <w:sz w:val="22"/>
          <w:szCs w:val="22"/>
        </w:rPr>
        <w:t>afectar</w:t>
      </w:r>
      <w:proofErr w:type="spellEnd"/>
      <w:r w:rsidRPr="002E087B">
        <w:rPr>
          <w:rFonts w:ascii="Arial" w:hAnsi="Arial" w:cs="Arial"/>
          <w:sz w:val="22"/>
          <w:szCs w:val="22"/>
        </w:rPr>
        <w:t xml:space="preserve"> o comércio entre os Estados</w:t>
      </w:r>
      <w:r w:rsidRPr="002E087B">
        <w:rPr>
          <w:rFonts w:ascii="Arial" w:hAnsi="Arial" w:cs="Arial"/>
          <w:sz w:val="22"/>
          <w:szCs w:val="22"/>
        </w:rPr>
        <w:noBreakHyphen/>
        <w:t xml:space="preserve">Membros,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desta disposição, devem aplicar igualmente o artigo 81.° </w:t>
      </w:r>
      <w:proofErr w:type="gramStart"/>
      <w:r w:rsidRPr="002E087B">
        <w:rPr>
          <w:rFonts w:ascii="Arial" w:hAnsi="Arial" w:cs="Arial"/>
          <w:sz w:val="22"/>
          <w:szCs w:val="22"/>
        </w:rPr>
        <w:t>do</w:t>
      </w:r>
      <w:proofErr w:type="gramEnd"/>
      <w:r w:rsidRPr="002E087B">
        <w:rPr>
          <w:rFonts w:ascii="Arial" w:hAnsi="Arial" w:cs="Arial"/>
          <w:sz w:val="22"/>
          <w:szCs w:val="22"/>
        </w:rPr>
        <w:t xml:space="preserve"> Tratado a tais acordos, decisões ou práticas concertadas. […]</w:t>
      </w:r>
    </w:p>
    <w:p w:rsidR="00D80FE6" w:rsidRPr="002E087B" w:rsidRDefault="00D80FE6" w:rsidP="002E087B">
      <w:pPr>
        <w:pStyle w:val="c02alineaalta"/>
        <w:spacing w:line="276" w:lineRule="auto"/>
        <w:ind w:left="0"/>
        <w:rPr>
          <w:rFonts w:ascii="Arial" w:hAnsi="Arial" w:cs="Arial"/>
          <w:sz w:val="22"/>
          <w:szCs w:val="22"/>
        </w:rPr>
      </w:pPr>
      <w:r w:rsidRPr="002E087B">
        <w:rPr>
          <w:rFonts w:ascii="Arial" w:hAnsi="Arial" w:cs="Arial"/>
          <w:sz w:val="22"/>
          <w:szCs w:val="22"/>
        </w:rPr>
        <w:t xml:space="preserve">2. A aplicação da legislação nacional em matéria de concorrência não pode levar à proibição de acordos, decisões de associação ou práticas concertadas </w:t>
      </w:r>
      <w:proofErr w:type="spellStart"/>
      <w:r w:rsidRPr="002E087B">
        <w:rPr>
          <w:rFonts w:ascii="Arial" w:hAnsi="Arial" w:cs="Arial"/>
          <w:sz w:val="22"/>
          <w:szCs w:val="22"/>
        </w:rPr>
        <w:t>susceptíveis</w:t>
      </w:r>
      <w:proofErr w:type="spellEnd"/>
      <w:r w:rsidRPr="002E087B">
        <w:rPr>
          <w:rFonts w:ascii="Arial" w:hAnsi="Arial" w:cs="Arial"/>
          <w:sz w:val="22"/>
          <w:szCs w:val="22"/>
        </w:rPr>
        <w:t xml:space="preserve"> de </w:t>
      </w:r>
      <w:proofErr w:type="spellStart"/>
      <w:r w:rsidRPr="002E087B">
        <w:rPr>
          <w:rFonts w:ascii="Arial" w:hAnsi="Arial" w:cs="Arial"/>
          <w:sz w:val="22"/>
          <w:szCs w:val="22"/>
        </w:rPr>
        <w:t>afectar</w:t>
      </w:r>
      <w:proofErr w:type="spellEnd"/>
      <w:r w:rsidRPr="002E087B">
        <w:rPr>
          <w:rFonts w:ascii="Arial" w:hAnsi="Arial" w:cs="Arial"/>
          <w:sz w:val="22"/>
          <w:szCs w:val="22"/>
        </w:rPr>
        <w:t xml:space="preserve"> o comércio entre os Estados</w:t>
      </w:r>
      <w:r w:rsidRPr="002E087B">
        <w:rPr>
          <w:rFonts w:ascii="Arial" w:hAnsi="Arial" w:cs="Arial"/>
          <w:sz w:val="22"/>
          <w:szCs w:val="22"/>
        </w:rPr>
        <w:noBreakHyphen/>
        <w:t xml:space="preserve">Membros mas que não restrinjam a concorrência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w:t>
      </w:r>
      <w:proofErr w:type="spellStart"/>
      <w:r w:rsidRPr="002E087B">
        <w:rPr>
          <w:rFonts w:ascii="Arial" w:hAnsi="Arial" w:cs="Arial"/>
          <w:sz w:val="22"/>
          <w:szCs w:val="22"/>
        </w:rPr>
        <w:t>n.°</w:t>
      </w:r>
      <w:proofErr w:type="spellEnd"/>
      <w:r w:rsidRPr="002E087B">
        <w:rPr>
          <w:rFonts w:ascii="Arial" w:hAnsi="Arial" w:cs="Arial"/>
          <w:sz w:val="22"/>
          <w:szCs w:val="22"/>
        </w:rPr>
        <w:t xml:space="preserve"> [1] </w:t>
      </w:r>
      <w:proofErr w:type="gramStart"/>
      <w:r w:rsidRPr="002E087B">
        <w:rPr>
          <w:rFonts w:ascii="Arial" w:hAnsi="Arial" w:cs="Arial"/>
          <w:sz w:val="22"/>
          <w:szCs w:val="22"/>
        </w:rPr>
        <w:t>do</w:t>
      </w:r>
      <w:proofErr w:type="gramEnd"/>
      <w:r w:rsidRPr="002E087B">
        <w:rPr>
          <w:rFonts w:ascii="Arial" w:hAnsi="Arial" w:cs="Arial"/>
          <w:sz w:val="22"/>
          <w:szCs w:val="22"/>
        </w:rPr>
        <w:t xml:space="preserve"> artigo 81.° </w:t>
      </w:r>
      <w:proofErr w:type="gramStart"/>
      <w:r w:rsidRPr="002E087B">
        <w:rPr>
          <w:rFonts w:ascii="Arial" w:hAnsi="Arial" w:cs="Arial"/>
          <w:sz w:val="22"/>
          <w:szCs w:val="22"/>
        </w:rPr>
        <w:t>do</w:t>
      </w:r>
      <w:proofErr w:type="gramEnd"/>
      <w:r w:rsidRPr="002E087B">
        <w:rPr>
          <w:rFonts w:ascii="Arial" w:hAnsi="Arial" w:cs="Arial"/>
          <w:sz w:val="22"/>
          <w:szCs w:val="22"/>
        </w:rPr>
        <w:t xml:space="preserve"> Tratado […]»</w:t>
      </w:r>
    </w:p>
    <w:p w:rsidR="00D80FE6" w:rsidRPr="002E087B" w:rsidRDefault="00D80FE6" w:rsidP="002E087B">
      <w:pPr>
        <w:pStyle w:val="c05titre2"/>
        <w:spacing w:line="276" w:lineRule="auto"/>
        <w:ind w:left="0"/>
        <w:rPr>
          <w:rFonts w:ascii="Arial" w:hAnsi="Arial" w:cs="Arial"/>
          <w:sz w:val="22"/>
          <w:szCs w:val="22"/>
        </w:rPr>
      </w:pPr>
      <w:r w:rsidRPr="002E087B">
        <w:rPr>
          <w:rFonts w:ascii="Arial" w:hAnsi="Arial" w:cs="Arial"/>
          <w:sz w:val="22"/>
          <w:szCs w:val="22"/>
        </w:rPr>
        <w:t>Legislação nacional</w:t>
      </w:r>
    </w:p>
    <w:p w:rsidR="00D80FE6" w:rsidRPr="002E087B" w:rsidRDefault="00D80FE6" w:rsidP="002E087B">
      <w:pPr>
        <w:pStyle w:val="c01pointnumerotealtn"/>
        <w:spacing w:line="276" w:lineRule="auto"/>
        <w:ind w:left="0"/>
        <w:rPr>
          <w:rFonts w:ascii="Arial" w:hAnsi="Arial" w:cs="Arial"/>
          <w:sz w:val="22"/>
          <w:szCs w:val="22"/>
        </w:rPr>
      </w:pPr>
      <w:bookmarkStart w:id="6" w:name="point6"/>
      <w:r w:rsidRPr="002E087B">
        <w:rPr>
          <w:rFonts w:ascii="Arial" w:hAnsi="Arial" w:cs="Arial"/>
          <w:sz w:val="22"/>
          <w:szCs w:val="22"/>
        </w:rPr>
        <w:t>6</w:t>
      </w:r>
      <w:bookmarkEnd w:id="6"/>
      <w:r w:rsidRPr="002E087B">
        <w:rPr>
          <w:rFonts w:ascii="Arial" w:hAnsi="Arial" w:cs="Arial"/>
          <w:sz w:val="22"/>
          <w:szCs w:val="22"/>
        </w:rPr>
        <w:t xml:space="preserve"> Nos termos do artigo 1.°, </w:t>
      </w:r>
      <w:proofErr w:type="gramStart"/>
      <w:r w:rsidRPr="002E087B">
        <w:rPr>
          <w:rFonts w:ascii="Arial" w:hAnsi="Arial" w:cs="Arial"/>
          <w:sz w:val="22"/>
          <w:szCs w:val="22"/>
        </w:rPr>
        <w:t>alínea</w:t>
      </w:r>
      <w:proofErr w:type="gramEnd"/>
      <w:r w:rsidRPr="002E087B">
        <w:rPr>
          <w:rFonts w:ascii="Arial" w:hAnsi="Arial" w:cs="Arial"/>
          <w:sz w:val="22"/>
          <w:szCs w:val="22"/>
        </w:rPr>
        <w:t xml:space="preserve"> h), da </w:t>
      </w:r>
      <w:proofErr w:type="spellStart"/>
      <w:r w:rsidRPr="002E087B">
        <w:rPr>
          <w:rFonts w:ascii="Arial" w:hAnsi="Arial" w:cs="Arial"/>
          <w:sz w:val="22"/>
          <w:szCs w:val="22"/>
        </w:rPr>
        <w:t>Mw</w:t>
      </w:r>
      <w:proofErr w:type="spellEnd"/>
      <w:r w:rsidRPr="002E087B">
        <w:rPr>
          <w:rFonts w:ascii="Arial" w:hAnsi="Arial" w:cs="Arial"/>
          <w:sz w:val="22"/>
          <w:szCs w:val="22"/>
        </w:rPr>
        <w:t>, entende</w:t>
      </w:r>
      <w:r w:rsidRPr="002E087B">
        <w:rPr>
          <w:rFonts w:ascii="Arial" w:hAnsi="Arial" w:cs="Arial"/>
          <w:sz w:val="22"/>
          <w:szCs w:val="22"/>
        </w:rPr>
        <w:noBreakHyphen/>
        <w:t xml:space="preserve">se por «práticas concertadas» as práticas concertadas no sentido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w:t>
      </w:r>
    </w:p>
    <w:p w:rsidR="00D80FE6" w:rsidRPr="002E087B" w:rsidRDefault="00D80FE6" w:rsidP="002E087B">
      <w:pPr>
        <w:pStyle w:val="c01pointnumerotealtn"/>
        <w:spacing w:line="276" w:lineRule="auto"/>
        <w:ind w:left="0"/>
        <w:rPr>
          <w:rFonts w:ascii="Arial" w:hAnsi="Arial" w:cs="Arial"/>
          <w:sz w:val="22"/>
          <w:szCs w:val="22"/>
        </w:rPr>
      </w:pPr>
      <w:bookmarkStart w:id="7" w:name="point7"/>
      <w:r w:rsidRPr="002E087B">
        <w:rPr>
          <w:rFonts w:ascii="Arial" w:hAnsi="Arial" w:cs="Arial"/>
          <w:sz w:val="22"/>
          <w:szCs w:val="22"/>
        </w:rPr>
        <w:t>7</w:t>
      </w:r>
      <w:bookmarkEnd w:id="7"/>
      <w:r w:rsidRPr="002E087B">
        <w:rPr>
          <w:rFonts w:ascii="Arial" w:hAnsi="Arial" w:cs="Arial"/>
          <w:sz w:val="22"/>
          <w:szCs w:val="22"/>
        </w:rPr>
        <w:t xml:space="preserve"> Nos termos do artigo 6.°,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da </w:t>
      </w:r>
      <w:proofErr w:type="spellStart"/>
      <w:r w:rsidRPr="002E087B">
        <w:rPr>
          <w:rFonts w:ascii="Arial" w:hAnsi="Arial" w:cs="Arial"/>
          <w:sz w:val="22"/>
          <w:szCs w:val="22"/>
        </w:rPr>
        <w:t>Mw</w:t>
      </w:r>
      <w:proofErr w:type="spellEnd"/>
      <w:r w:rsidRPr="002E087B">
        <w:rPr>
          <w:rFonts w:ascii="Arial" w:hAnsi="Arial" w:cs="Arial"/>
          <w:sz w:val="22"/>
          <w:szCs w:val="22"/>
        </w:rPr>
        <w:t xml:space="preserve">, são proibidos os acordos entre empresas, as decisões de associações de empresas e as práticas concertadas entre empresas que tenham como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ou como efeito eliminar, restringir ou falsear a concorrência no mercado dos Países Baixos ou em parte dele.</w:t>
      </w:r>
    </w:p>
    <w:p w:rsidR="00D80FE6" w:rsidRPr="002E087B" w:rsidRDefault="00D80FE6" w:rsidP="002E087B">
      <w:pPr>
        <w:pStyle w:val="c01pointnumerotealtn"/>
        <w:spacing w:line="276" w:lineRule="auto"/>
        <w:ind w:left="0"/>
        <w:rPr>
          <w:rFonts w:ascii="Arial" w:hAnsi="Arial" w:cs="Arial"/>
          <w:sz w:val="22"/>
          <w:szCs w:val="22"/>
        </w:rPr>
      </w:pPr>
      <w:bookmarkStart w:id="8" w:name="point8"/>
      <w:r w:rsidRPr="002E087B">
        <w:rPr>
          <w:rFonts w:ascii="Arial" w:hAnsi="Arial" w:cs="Arial"/>
          <w:sz w:val="22"/>
          <w:szCs w:val="22"/>
        </w:rPr>
        <w:t>8</w:t>
      </w:r>
      <w:bookmarkEnd w:id="8"/>
      <w:r w:rsidRPr="002E087B">
        <w:rPr>
          <w:rFonts w:ascii="Arial" w:hAnsi="Arial" w:cs="Arial"/>
          <w:sz w:val="22"/>
          <w:szCs w:val="22"/>
        </w:rPr>
        <w:t xml:space="preserve"> Nos termos do artigo 88.° </w:t>
      </w:r>
      <w:proofErr w:type="gramStart"/>
      <w:r w:rsidRPr="002E087B">
        <w:rPr>
          <w:rFonts w:ascii="Arial" w:hAnsi="Arial" w:cs="Arial"/>
          <w:sz w:val="22"/>
          <w:szCs w:val="22"/>
        </w:rPr>
        <w:t>da</w:t>
      </w:r>
      <w:proofErr w:type="gramEnd"/>
      <w:r w:rsidRPr="002E087B">
        <w:rPr>
          <w:rFonts w:ascii="Arial" w:hAnsi="Arial" w:cs="Arial"/>
          <w:sz w:val="22"/>
          <w:szCs w:val="22"/>
        </w:rPr>
        <w:t xml:space="preserve"> </w:t>
      </w:r>
      <w:proofErr w:type="spellStart"/>
      <w:r w:rsidRPr="002E087B">
        <w:rPr>
          <w:rFonts w:ascii="Arial" w:hAnsi="Arial" w:cs="Arial"/>
          <w:sz w:val="22"/>
          <w:szCs w:val="22"/>
        </w:rPr>
        <w:t>Mw</w:t>
      </w:r>
      <w:proofErr w:type="spellEnd"/>
      <w:r w:rsidRPr="002E087B">
        <w:rPr>
          <w:rFonts w:ascii="Arial" w:hAnsi="Arial" w:cs="Arial"/>
          <w:sz w:val="22"/>
          <w:szCs w:val="22"/>
        </w:rPr>
        <w:t xml:space="preserve">, a </w:t>
      </w:r>
      <w:proofErr w:type="spellStart"/>
      <w:r w:rsidRPr="002E087B">
        <w:rPr>
          <w:rFonts w:ascii="Arial" w:hAnsi="Arial" w:cs="Arial"/>
          <w:sz w:val="22"/>
          <w:szCs w:val="22"/>
        </w:rPr>
        <w:t>NMa</w:t>
      </w:r>
      <w:proofErr w:type="spellEnd"/>
      <w:r w:rsidRPr="002E087B">
        <w:rPr>
          <w:rFonts w:ascii="Arial" w:hAnsi="Arial" w:cs="Arial"/>
          <w:sz w:val="22"/>
          <w:szCs w:val="22"/>
        </w:rPr>
        <w:t xml:space="preserve"> tem o poder de aplicar o artigo 81.° CE.</w:t>
      </w:r>
    </w:p>
    <w:p w:rsidR="00D80FE6" w:rsidRPr="002E087B" w:rsidRDefault="00D80FE6" w:rsidP="002E087B">
      <w:pPr>
        <w:pStyle w:val="c04titre1"/>
        <w:spacing w:line="276" w:lineRule="auto"/>
        <w:ind w:left="0"/>
        <w:rPr>
          <w:rFonts w:ascii="Arial" w:hAnsi="Arial" w:cs="Arial"/>
          <w:sz w:val="22"/>
          <w:szCs w:val="22"/>
        </w:rPr>
      </w:pPr>
      <w:r w:rsidRPr="002E087B">
        <w:rPr>
          <w:rFonts w:ascii="Arial" w:hAnsi="Arial" w:cs="Arial"/>
          <w:sz w:val="22"/>
          <w:szCs w:val="22"/>
        </w:rPr>
        <w:t>Litígio no processo principal e questões prejudiciais</w:t>
      </w:r>
    </w:p>
    <w:p w:rsidR="00D80FE6" w:rsidRPr="002E087B" w:rsidRDefault="00D80FE6" w:rsidP="002E087B">
      <w:pPr>
        <w:pStyle w:val="c05titre2"/>
        <w:spacing w:line="276" w:lineRule="auto"/>
        <w:ind w:left="0"/>
        <w:rPr>
          <w:rFonts w:ascii="Arial" w:hAnsi="Arial" w:cs="Arial"/>
          <w:sz w:val="22"/>
          <w:szCs w:val="22"/>
        </w:rPr>
      </w:pPr>
      <w:r w:rsidRPr="002E087B">
        <w:rPr>
          <w:rFonts w:ascii="Arial" w:hAnsi="Arial" w:cs="Arial"/>
          <w:sz w:val="22"/>
          <w:szCs w:val="22"/>
        </w:rPr>
        <w:t>Factos do litígio no processo principal</w:t>
      </w:r>
    </w:p>
    <w:p w:rsidR="00D80FE6" w:rsidRPr="002E087B" w:rsidRDefault="00D80FE6" w:rsidP="002E087B">
      <w:pPr>
        <w:pStyle w:val="c01pointnumerotealtn"/>
        <w:spacing w:line="276" w:lineRule="auto"/>
        <w:ind w:left="0"/>
        <w:rPr>
          <w:rFonts w:ascii="Arial" w:hAnsi="Arial" w:cs="Arial"/>
          <w:sz w:val="22"/>
          <w:szCs w:val="22"/>
        </w:rPr>
      </w:pPr>
      <w:bookmarkStart w:id="9" w:name="point9"/>
      <w:r w:rsidRPr="002E087B">
        <w:rPr>
          <w:rFonts w:ascii="Arial" w:hAnsi="Arial" w:cs="Arial"/>
          <w:sz w:val="22"/>
          <w:szCs w:val="22"/>
        </w:rPr>
        <w:t>9</w:t>
      </w:r>
      <w:bookmarkEnd w:id="9"/>
      <w:r w:rsidRPr="002E087B">
        <w:rPr>
          <w:rFonts w:ascii="Arial" w:hAnsi="Arial" w:cs="Arial"/>
          <w:sz w:val="22"/>
          <w:szCs w:val="22"/>
        </w:rPr>
        <w:t xml:space="preserve"> Resulta da decisão de reenvio que os representantes dos operadores que prestam serviços de telecomunicações móveis no mercado neerlandês se reuniram em 13 de Junho de 2001.</w:t>
      </w:r>
    </w:p>
    <w:p w:rsidR="00D80FE6" w:rsidRPr="002E087B" w:rsidRDefault="00D80FE6" w:rsidP="002E087B">
      <w:pPr>
        <w:pStyle w:val="c01pointnumerotealtn"/>
        <w:spacing w:line="276" w:lineRule="auto"/>
        <w:ind w:left="0"/>
        <w:rPr>
          <w:rFonts w:ascii="Arial" w:hAnsi="Arial" w:cs="Arial"/>
          <w:sz w:val="22"/>
          <w:szCs w:val="22"/>
        </w:rPr>
      </w:pPr>
      <w:bookmarkStart w:id="10" w:name="point10"/>
      <w:r w:rsidRPr="002E087B">
        <w:rPr>
          <w:rFonts w:ascii="Arial" w:hAnsi="Arial" w:cs="Arial"/>
          <w:sz w:val="22"/>
          <w:szCs w:val="22"/>
        </w:rPr>
        <w:t>10</w:t>
      </w:r>
      <w:bookmarkEnd w:id="10"/>
      <w:r w:rsidRPr="002E087B">
        <w:rPr>
          <w:rFonts w:ascii="Arial" w:hAnsi="Arial" w:cs="Arial"/>
          <w:sz w:val="22"/>
          <w:szCs w:val="22"/>
        </w:rPr>
        <w:t xml:space="preserve"> Na altura, cinco operadores beneficiavam, nos Países Baixos, de uma rede própria de telefonia móvel: a Ben </w:t>
      </w:r>
      <w:proofErr w:type="spellStart"/>
      <w:r w:rsidRPr="002E087B">
        <w:rPr>
          <w:rFonts w:ascii="Arial" w:hAnsi="Arial" w:cs="Arial"/>
          <w:sz w:val="22"/>
          <w:szCs w:val="22"/>
        </w:rPr>
        <w:t>Nederland</w:t>
      </w:r>
      <w:proofErr w:type="spellEnd"/>
      <w:r w:rsidRPr="002E087B">
        <w:rPr>
          <w:rFonts w:ascii="Arial" w:hAnsi="Arial" w:cs="Arial"/>
          <w:sz w:val="22"/>
          <w:szCs w:val="22"/>
        </w:rPr>
        <w:t xml:space="preserve"> BV (a seguir «Ben», </w:t>
      </w:r>
      <w:proofErr w:type="spellStart"/>
      <w:r w:rsidRPr="002E087B">
        <w:rPr>
          <w:rFonts w:ascii="Arial" w:hAnsi="Arial" w:cs="Arial"/>
          <w:sz w:val="22"/>
          <w:szCs w:val="22"/>
        </w:rPr>
        <w:t>actualmente</w:t>
      </w:r>
      <w:proofErr w:type="spellEnd"/>
      <w:r w:rsidRPr="002E087B">
        <w:rPr>
          <w:rFonts w:ascii="Arial" w:hAnsi="Arial" w:cs="Arial"/>
          <w:sz w:val="22"/>
          <w:szCs w:val="22"/>
        </w:rPr>
        <w:t xml:space="preserve"> T</w:t>
      </w:r>
      <w:r w:rsidRPr="002E087B">
        <w:rPr>
          <w:rFonts w:ascii="Arial" w:hAnsi="Arial" w:cs="Arial"/>
          <w:sz w:val="22"/>
          <w:szCs w:val="22"/>
        </w:rPr>
        <w:noBreakHyphen/>
        <w:t xml:space="preserve">Mobile), a KPN, a </w:t>
      </w:r>
      <w:proofErr w:type="spellStart"/>
      <w:r w:rsidRPr="002E087B">
        <w:rPr>
          <w:rFonts w:ascii="Arial" w:hAnsi="Arial" w:cs="Arial"/>
          <w:sz w:val="22"/>
          <w:szCs w:val="22"/>
        </w:rPr>
        <w:t>Dutchtone</w:t>
      </w:r>
      <w:proofErr w:type="spellEnd"/>
      <w:r w:rsidRPr="002E087B">
        <w:rPr>
          <w:rFonts w:ascii="Arial" w:hAnsi="Arial" w:cs="Arial"/>
          <w:sz w:val="22"/>
          <w:szCs w:val="22"/>
        </w:rPr>
        <w:t xml:space="preserve"> NV (a seguir «</w:t>
      </w:r>
      <w:proofErr w:type="spellStart"/>
      <w:r w:rsidRPr="002E087B">
        <w:rPr>
          <w:rFonts w:ascii="Arial" w:hAnsi="Arial" w:cs="Arial"/>
          <w:sz w:val="22"/>
          <w:szCs w:val="22"/>
        </w:rPr>
        <w:t>Dutchtone</w:t>
      </w:r>
      <w:proofErr w:type="spellEnd"/>
      <w:r w:rsidRPr="002E087B">
        <w:rPr>
          <w:rFonts w:ascii="Arial" w:hAnsi="Arial" w:cs="Arial"/>
          <w:sz w:val="22"/>
          <w:szCs w:val="22"/>
        </w:rPr>
        <w:t xml:space="preserve">», </w:t>
      </w:r>
      <w:proofErr w:type="spellStart"/>
      <w:r w:rsidRPr="002E087B">
        <w:rPr>
          <w:rFonts w:ascii="Arial" w:hAnsi="Arial" w:cs="Arial"/>
          <w:sz w:val="22"/>
          <w:szCs w:val="22"/>
        </w:rPr>
        <w:t>actualmente</w:t>
      </w:r>
      <w:proofErr w:type="spellEnd"/>
      <w:r w:rsidRPr="002E087B">
        <w:rPr>
          <w:rFonts w:ascii="Arial" w:hAnsi="Arial" w:cs="Arial"/>
          <w:sz w:val="22"/>
          <w:szCs w:val="22"/>
        </w:rPr>
        <w:t xml:space="preserve"> Orange), a </w:t>
      </w:r>
      <w:proofErr w:type="spellStart"/>
      <w:r w:rsidRPr="002E087B">
        <w:rPr>
          <w:rFonts w:ascii="Arial" w:hAnsi="Arial" w:cs="Arial"/>
          <w:sz w:val="22"/>
          <w:szCs w:val="22"/>
        </w:rPr>
        <w:t>Libertel</w:t>
      </w:r>
      <w:proofErr w:type="spellEnd"/>
      <w:r w:rsidRPr="002E087B">
        <w:rPr>
          <w:rFonts w:ascii="Arial" w:hAnsi="Arial" w:cs="Arial"/>
          <w:sz w:val="22"/>
          <w:szCs w:val="22"/>
        </w:rPr>
        <w:noBreakHyphen/>
        <w:t>Vodafone NV (a seguir «</w:t>
      </w:r>
      <w:proofErr w:type="spellStart"/>
      <w:r w:rsidRPr="002E087B">
        <w:rPr>
          <w:rFonts w:ascii="Arial" w:hAnsi="Arial" w:cs="Arial"/>
          <w:sz w:val="22"/>
          <w:szCs w:val="22"/>
        </w:rPr>
        <w:t>Libertel</w:t>
      </w:r>
      <w:proofErr w:type="spellEnd"/>
      <w:r w:rsidRPr="002E087B">
        <w:rPr>
          <w:rFonts w:ascii="Arial" w:hAnsi="Arial" w:cs="Arial"/>
          <w:sz w:val="22"/>
          <w:szCs w:val="22"/>
        </w:rPr>
        <w:noBreakHyphen/>
        <w:t xml:space="preserve">Vodafone», </w:t>
      </w:r>
      <w:proofErr w:type="spellStart"/>
      <w:r w:rsidRPr="002E087B">
        <w:rPr>
          <w:rFonts w:ascii="Arial" w:hAnsi="Arial" w:cs="Arial"/>
          <w:sz w:val="22"/>
          <w:szCs w:val="22"/>
        </w:rPr>
        <w:t>actualmente</w:t>
      </w:r>
      <w:proofErr w:type="spellEnd"/>
      <w:r w:rsidRPr="002E087B">
        <w:rPr>
          <w:rFonts w:ascii="Arial" w:hAnsi="Arial" w:cs="Arial"/>
          <w:sz w:val="22"/>
          <w:szCs w:val="22"/>
        </w:rPr>
        <w:t xml:space="preserve"> Vodafone) e a </w:t>
      </w:r>
      <w:proofErr w:type="spellStart"/>
      <w:r w:rsidRPr="002E087B">
        <w:rPr>
          <w:rFonts w:ascii="Arial" w:hAnsi="Arial" w:cs="Arial"/>
          <w:sz w:val="22"/>
          <w:szCs w:val="22"/>
        </w:rPr>
        <w:t>Telfort</w:t>
      </w:r>
      <w:proofErr w:type="spellEnd"/>
      <w:r w:rsidRPr="002E087B">
        <w:rPr>
          <w:rFonts w:ascii="Arial" w:hAnsi="Arial" w:cs="Arial"/>
          <w:sz w:val="22"/>
          <w:szCs w:val="22"/>
        </w:rPr>
        <w:t xml:space="preserve"> </w:t>
      </w:r>
      <w:proofErr w:type="spellStart"/>
      <w:r w:rsidRPr="002E087B">
        <w:rPr>
          <w:rFonts w:ascii="Arial" w:hAnsi="Arial" w:cs="Arial"/>
          <w:sz w:val="22"/>
          <w:szCs w:val="22"/>
        </w:rPr>
        <w:t>Mobiel</w:t>
      </w:r>
      <w:proofErr w:type="spellEnd"/>
      <w:r w:rsidRPr="002E087B">
        <w:rPr>
          <w:rFonts w:ascii="Arial" w:hAnsi="Arial" w:cs="Arial"/>
          <w:sz w:val="22"/>
          <w:szCs w:val="22"/>
        </w:rPr>
        <w:t xml:space="preserve"> BV [que se transformou na O2 (</w:t>
      </w:r>
      <w:proofErr w:type="spellStart"/>
      <w:r w:rsidRPr="002E087B">
        <w:rPr>
          <w:rFonts w:ascii="Arial" w:hAnsi="Arial" w:cs="Arial"/>
          <w:sz w:val="22"/>
          <w:szCs w:val="22"/>
        </w:rPr>
        <w:t>Netherlands</w:t>
      </w:r>
      <w:proofErr w:type="spellEnd"/>
      <w:r w:rsidRPr="002E087B">
        <w:rPr>
          <w:rFonts w:ascii="Arial" w:hAnsi="Arial" w:cs="Arial"/>
          <w:sz w:val="22"/>
          <w:szCs w:val="22"/>
        </w:rPr>
        <w:t>) BV, a seguir «O2 (</w:t>
      </w:r>
      <w:proofErr w:type="spellStart"/>
      <w:r w:rsidRPr="002E087B">
        <w:rPr>
          <w:rFonts w:ascii="Arial" w:hAnsi="Arial" w:cs="Arial"/>
          <w:sz w:val="22"/>
          <w:szCs w:val="22"/>
        </w:rPr>
        <w:t>Netherlands</w:t>
      </w:r>
      <w:proofErr w:type="spellEnd"/>
      <w:r w:rsidRPr="002E087B">
        <w:rPr>
          <w:rFonts w:ascii="Arial" w:hAnsi="Arial" w:cs="Arial"/>
          <w:sz w:val="22"/>
          <w:szCs w:val="22"/>
        </w:rPr>
        <w:t xml:space="preserve">)», e, </w:t>
      </w:r>
      <w:proofErr w:type="spellStart"/>
      <w:r w:rsidRPr="002E087B">
        <w:rPr>
          <w:rFonts w:ascii="Arial" w:hAnsi="Arial" w:cs="Arial"/>
          <w:sz w:val="22"/>
          <w:szCs w:val="22"/>
        </w:rPr>
        <w:t>actualmente</w:t>
      </w:r>
      <w:proofErr w:type="spellEnd"/>
      <w:r w:rsidRPr="002E087B">
        <w:rPr>
          <w:rFonts w:ascii="Arial" w:hAnsi="Arial" w:cs="Arial"/>
          <w:sz w:val="22"/>
          <w:szCs w:val="22"/>
        </w:rPr>
        <w:t xml:space="preserve">, </w:t>
      </w:r>
      <w:proofErr w:type="spellStart"/>
      <w:r w:rsidRPr="002E087B">
        <w:rPr>
          <w:rFonts w:ascii="Arial" w:hAnsi="Arial" w:cs="Arial"/>
          <w:sz w:val="22"/>
          <w:szCs w:val="22"/>
        </w:rPr>
        <w:t>Telfort</w:t>
      </w:r>
      <w:proofErr w:type="spellEnd"/>
      <w:r w:rsidRPr="002E087B">
        <w:rPr>
          <w:rFonts w:ascii="Arial" w:hAnsi="Arial" w:cs="Arial"/>
          <w:sz w:val="22"/>
          <w:szCs w:val="22"/>
        </w:rPr>
        <w:t xml:space="preserve">]. Em 2001, as quotas de mercado destes cinco operadores ascendiam, </w:t>
      </w:r>
      <w:proofErr w:type="spellStart"/>
      <w:r w:rsidRPr="002E087B">
        <w:rPr>
          <w:rFonts w:ascii="Arial" w:hAnsi="Arial" w:cs="Arial"/>
          <w:sz w:val="22"/>
          <w:szCs w:val="22"/>
        </w:rPr>
        <w:t>respectivamente</w:t>
      </w:r>
      <w:proofErr w:type="spellEnd"/>
      <w:r w:rsidRPr="002E087B">
        <w:rPr>
          <w:rFonts w:ascii="Arial" w:hAnsi="Arial" w:cs="Arial"/>
          <w:sz w:val="22"/>
          <w:szCs w:val="22"/>
        </w:rPr>
        <w:t xml:space="preserve">, a 10,6%, 42,1%, 9,7%, 26,1% e 11,4%. O aparecimento de uma sexta rede de telefonia móvel não era possível, porque não foram atribuídas mais licenças. O acesso ao mercado dos serviços de telecomunicações móveis só era </w:t>
      </w:r>
      <w:r w:rsidRPr="002E087B">
        <w:rPr>
          <w:rFonts w:ascii="Arial" w:hAnsi="Arial" w:cs="Arial"/>
          <w:sz w:val="22"/>
          <w:szCs w:val="22"/>
        </w:rPr>
        <w:lastRenderedPageBreak/>
        <w:t>possível, portanto, através da celebração de um contrato com um ou vários destes cinco operadores.</w:t>
      </w:r>
    </w:p>
    <w:p w:rsidR="00D80FE6" w:rsidRPr="002E087B" w:rsidRDefault="00D80FE6" w:rsidP="002E087B">
      <w:pPr>
        <w:pStyle w:val="c01pointnumerotealtn"/>
        <w:spacing w:line="276" w:lineRule="auto"/>
        <w:ind w:left="0"/>
        <w:rPr>
          <w:rFonts w:ascii="Arial" w:hAnsi="Arial" w:cs="Arial"/>
          <w:sz w:val="22"/>
          <w:szCs w:val="22"/>
        </w:rPr>
      </w:pPr>
      <w:bookmarkStart w:id="11" w:name="point11"/>
      <w:r w:rsidRPr="002E087B">
        <w:rPr>
          <w:rFonts w:ascii="Arial" w:hAnsi="Arial" w:cs="Arial"/>
          <w:sz w:val="22"/>
          <w:szCs w:val="22"/>
        </w:rPr>
        <w:t>11</w:t>
      </w:r>
      <w:bookmarkEnd w:id="11"/>
      <w:r w:rsidRPr="002E087B">
        <w:rPr>
          <w:rFonts w:ascii="Arial" w:hAnsi="Arial" w:cs="Arial"/>
          <w:sz w:val="22"/>
          <w:szCs w:val="22"/>
        </w:rPr>
        <w:t xml:space="preserve"> Os serviços de telecomunicações móveis são oferecidos sob a forma de pacotes pré</w:t>
      </w:r>
      <w:r w:rsidRPr="002E087B">
        <w:rPr>
          <w:rFonts w:ascii="Arial" w:hAnsi="Arial" w:cs="Arial"/>
          <w:sz w:val="22"/>
          <w:szCs w:val="22"/>
        </w:rPr>
        <w:noBreakHyphen/>
        <w:t>pagos ou assinaturas com pós</w:t>
      </w:r>
      <w:r w:rsidRPr="002E087B">
        <w:rPr>
          <w:rFonts w:ascii="Arial" w:hAnsi="Arial" w:cs="Arial"/>
          <w:sz w:val="22"/>
          <w:szCs w:val="22"/>
        </w:rPr>
        <w:noBreakHyphen/>
        <w:t>pagamento. Os pacotes pré</w:t>
      </w:r>
      <w:r w:rsidRPr="002E087B">
        <w:rPr>
          <w:rFonts w:ascii="Arial" w:hAnsi="Arial" w:cs="Arial"/>
          <w:sz w:val="22"/>
          <w:szCs w:val="22"/>
        </w:rPr>
        <w:noBreakHyphen/>
        <w:t>pagos caracterizam</w:t>
      </w:r>
      <w:r w:rsidRPr="002E087B">
        <w:rPr>
          <w:rFonts w:ascii="Arial" w:hAnsi="Arial" w:cs="Arial"/>
          <w:sz w:val="22"/>
          <w:szCs w:val="22"/>
        </w:rPr>
        <w:noBreakHyphen/>
        <w:t>se pelo facto de o cliente pagar antecipadamente o preço das comunicações. Com efeito, pela compra de um cartão pré</w:t>
      </w:r>
      <w:r w:rsidRPr="002E087B">
        <w:rPr>
          <w:rFonts w:ascii="Arial" w:hAnsi="Arial" w:cs="Arial"/>
          <w:sz w:val="22"/>
          <w:szCs w:val="22"/>
        </w:rPr>
        <w:noBreakHyphen/>
        <w:t>pago ou de um carregamento, o cliente adquire um crédito em tempo de chamadas, o que lhe permite telefonar até esgotar esse crédito. As assinaturas com pós</w:t>
      </w:r>
      <w:r w:rsidRPr="002E087B">
        <w:rPr>
          <w:rFonts w:ascii="Arial" w:hAnsi="Arial" w:cs="Arial"/>
          <w:sz w:val="22"/>
          <w:szCs w:val="22"/>
        </w:rPr>
        <w:noBreakHyphen/>
        <w:t>pagamento caracterizam</w:t>
      </w:r>
      <w:r w:rsidRPr="002E087B">
        <w:rPr>
          <w:rFonts w:ascii="Arial" w:hAnsi="Arial" w:cs="Arial"/>
          <w:sz w:val="22"/>
          <w:szCs w:val="22"/>
        </w:rPr>
        <w:noBreakHyphen/>
        <w:t xml:space="preserve">se, pelo contrário, pelo facto de os minutos de comunicação de um determinado período serem </w:t>
      </w:r>
      <w:proofErr w:type="spellStart"/>
      <w:r w:rsidRPr="002E087B">
        <w:rPr>
          <w:rFonts w:ascii="Arial" w:hAnsi="Arial" w:cs="Arial"/>
          <w:sz w:val="22"/>
          <w:szCs w:val="22"/>
        </w:rPr>
        <w:t>facturados</w:t>
      </w:r>
      <w:proofErr w:type="spellEnd"/>
      <w:r w:rsidRPr="002E087B">
        <w:rPr>
          <w:rFonts w:ascii="Arial" w:hAnsi="Arial" w:cs="Arial"/>
          <w:sz w:val="22"/>
          <w:szCs w:val="22"/>
        </w:rPr>
        <w:t xml:space="preserve"> ao cliente </w:t>
      </w:r>
      <w:proofErr w:type="gramStart"/>
      <w:r w:rsidRPr="002E087B">
        <w:rPr>
          <w:rFonts w:ascii="Arial" w:hAnsi="Arial" w:cs="Arial"/>
          <w:i/>
          <w:iCs/>
          <w:sz w:val="22"/>
          <w:szCs w:val="22"/>
        </w:rPr>
        <w:t>a posteriori</w:t>
      </w:r>
      <w:proofErr w:type="gramEnd"/>
      <w:r w:rsidRPr="002E087B">
        <w:rPr>
          <w:rFonts w:ascii="Arial" w:hAnsi="Arial" w:cs="Arial"/>
          <w:sz w:val="22"/>
          <w:szCs w:val="22"/>
        </w:rPr>
        <w:t>, que paga também uma taxa de base fixa, que por sua vez pode incluir um crédito em minutos de chamadas.</w:t>
      </w:r>
    </w:p>
    <w:p w:rsidR="00D80FE6" w:rsidRPr="002E087B" w:rsidRDefault="00D80FE6" w:rsidP="002E087B">
      <w:pPr>
        <w:pStyle w:val="c01pointnumerotealtn"/>
        <w:spacing w:line="276" w:lineRule="auto"/>
        <w:ind w:left="0"/>
        <w:rPr>
          <w:rFonts w:ascii="Arial" w:hAnsi="Arial" w:cs="Arial"/>
          <w:sz w:val="22"/>
          <w:szCs w:val="22"/>
        </w:rPr>
      </w:pPr>
      <w:bookmarkStart w:id="12" w:name="point12"/>
      <w:r w:rsidRPr="002E087B">
        <w:rPr>
          <w:rFonts w:ascii="Arial" w:hAnsi="Arial" w:cs="Arial"/>
          <w:sz w:val="22"/>
          <w:szCs w:val="22"/>
        </w:rPr>
        <w:t>12</w:t>
      </w:r>
      <w:bookmarkEnd w:id="12"/>
      <w:r w:rsidRPr="002E087B">
        <w:rPr>
          <w:rFonts w:ascii="Arial" w:hAnsi="Arial" w:cs="Arial"/>
          <w:sz w:val="22"/>
          <w:szCs w:val="22"/>
        </w:rPr>
        <w:t xml:space="preserve"> Em 13 de Junho de 2001, teve lugar uma reunião entre os representantes dos operadores que prestam serviços de telecomunicações móveis no mercado neerlandês. Durante essa reunião falou</w:t>
      </w:r>
      <w:r w:rsidRPr="002E087B">
        <w:rPr>
          <w:rFonts w:ascii="Arial" w:hAnsi="Arial" w:cs="Arial"/>
          <w:sz w:val="22"/>
          <w:szCs w:val="22"/>
        </w:rPr>
        <w:noBreakHyphen/>
        <w:t xml:space="preserve">se, entre outras coisas, da redução das remunerações </w:t>
      </w:r>
      <w:proofErr w:type="gramStart"/>
      <w:r w:rsidRPr="002E087B">
        <w:rPr>
          <w:rFonts w:ascii="Arial" w:hAnsi="Arial" w:cs="Arial"/>
          <w:i/>
          <w:iCs/>
          <w:sz w:val="22"/>
          <w:szCs w:val="22"/>
        </w:rPr>
        <w:t>standard</w:t>
      </w:r>
      <w:proofErr w:type="gramEnd"/>
      <w:r w:rsidRPr="002E087B">
        <w:rPr>
          <w:rFonts w:ascii="Arial" w:hAnsi="Arial" w:cs="Arial"/>
          <w:sz w:val="22"/>
          <w:szCs w:val="22"/>
        </w:rPr>
        <w:t xml:space="preserve"> dos revendedores relativas às assinaturas com pós</w:t>
      </w:r>
      <w:r w:rsidRPr="002E087B">
        <w:rPr>
          <w:rFonts w:ascii="Arial" w:hAnsi="Arial" w:cs="Arial"/>
          <w:sz w:val="22"/>
          <w:szCs w:val="22"/>
        </w:rPr>
        <w:noBreakHyphen/>
        <w:t>pagamento a partir de 1 de Setembro de 2001 ou por volta desta data. Como decorre da decisão de reenvio</w:t>
      </w:r>
      <w:proofErr w:type="gramStart"/>
      <w:r w:rsidRPr="002E087B">
        <w:rPr>
          <w:rFonts w:ascii="Arial" w:hAnsi="Arial" w:cs="Arial"/>
          <w:sz w:val="22"/>
          <w:szCs w:val="22"/>
        </w:rPr>
        <w:t>,</w:t>
      </w:r>
      <w:proofErr w:type="gramEnd"/>
      <w:r w:rsidRPr="002E087B">
        <w:rPr>
          <w:rFonts w:ascii="Arial" w:hAnsi="Arial" w:cs="Arial"/>
          <w:sz w:val="22"/>
          <w:szCs w:val="22"/>
        </w:rPr>
        <w:t xml:space="preserve"> foram igualmente trocadas informações confidenciais entre os participantes durante a reunião.</w:t>
      </w:r>
    </w:p>
    <w:p w:rsidR="00D80FE6" w:rsidRPr="002E087B" w:rsidRDefault="00D80FE6" w:rsidP="002E087B">
      <w:pPr>
        <w:pStyle w:val="c01pointnumerotealtn"/>
        <w:spacing w:line="276" w:lineRule="auto"/>
        <w:ind w:left="0"/>
        <w:rPr>
          <w:rFonts w:ascii="Arial" w:hAnsi="Arial" w:cs="Arial"/>
          <w:sz w:val="22"/>
          <w:szCs w:val="22"/>
        </w:rPr>
      </w:pPr>
      <w:bookmarkStart w:id="13" w:name="point13"/>
      <w:r w:rsidRPr="002E087B">
        <w:rPr>
          <w:rFonts w:ascii="Arial" w:hAnsi="Arial" w:cs="Arial"/>
          <w:sz w:val="22"/>
          <w:szCs w:val="22"/>
        </w:rPr>
        <w:t>13</w:t>
      </w:r>
      <w:bookmarkEnd w:id="13"/>
      <w:r w:rsidRPr="002E087B">
        <w:rPr>
          <w:rFonts w:ascii="Arial" w:hAnsi="Arial" w:cs="Arial"/>
          <w:sz w:val="22"/>
          <w:szCs w:val="22"/>
        </w:rPr>
        <w:t xml:space="preserve"> Por decisão de 30 de Dezembro de 2002, a </w:t>
      </w:r>
      <w:proofErr w:type="spellStart"/>
      <w:r w:rsidRPr="002E087B">
        <w:rPr>
          <w:rFonts w:ascii="Arial" w:hAnsi="Arial" w:cs="Arial"/>
          <w:sz w:val="22"/>
          <w:szCs w:val="22"/>
        </w:rPr>
        <w:t>NMa</w:t>
      </w:r>
      <w:proofErr w:type="spellEnd"/>
      <w:r w:rsidRPr="002E087B">
        <w:rPr>
          <w:rFonts w:ascii="Arial" w:hAnsi="Arial" w:cs="Arial"/>
          <w:sz w:val="22"/>
          <w:szCs w:val="22"/>
        </w:rPr>
        <w:t xml:space="preserve"> declarou que a Ben, a </w:t>
      </w:r>
      <w:proofErr w:type="spellStart"/>
      <w:r w:rsidRPr="002E087B">
        <w:rPr>
          <w:rFonts w:ascii="Arial" w:hAnsi="Arial" w:cs="Arial"/>
          <w:sz w:val="22"/>
          <w:szCs w:val="22"/>
        </w:rPr>
        <w:t>Dutchtone</w:t>
      </w:r>
      <w:proofErr w:type="spellEnd"/>
      <w:r w:rsidRPr="002E087B">
        <w:rPr>
          <w:rFonts w:ascii="Arial" w:hAnsi="Arial" w:cs="Arial"/>
          <w:sz w:val="22"/>
          <w:szCs w:val="22"/>
        </w:rPr>
        <w:t>, a KPN, a O2 (</w:t>
      </w:r>
      <w:proofErr w:type="spellStart"/>
      <w:r w:rsidRPr="002E087B">
        <w:rPr>
          <w:rFonts w:ascii="Arial" w:hAnsi="Arial" w:cs="Arial"/>
          <w:sz w:val="22"/>
          <w:szCs w:val="22"/>
        </w:rPr>
        <w:t>Netherlands</w:t>
      </w:r>
      <w:proofErr w:type="spellEnd"/>
      <w:r w:rsidRPr="002E087B">
        <w:rPr>
          <w:rFonts w:ascii="Arial" w:hAnsi="Arial" w:cs="Arial"/>
          <w:sz w:val="22"/>
          <w:szCs w:val="22"/>
        </w:rPr>
        <w:t xml:space="preserve">) e a </w:t>
      </w:r>
      <w:proofErr w:type="spellStart"/>
      <w:r w:rsidRPr="002E087B">
        <w:rPr>
          <w:rFonts w:ascii="Arial" w:hAnsi="Arial" w:cs="Arial"/>
          <w:sz w:val="22"/>
          <w:szCs w:val="22"/>
        </w:rPr>
        <w:t>Libertel</w:t>
      </w:r>
      <w:proofErr w:type="spellEnd"/>
      <w:r w:rsidRPr="002E087B">
        <w:rPr>
          <w:rFonts w:ascii="Arial" w:hAnsi="Arial" w:cs="Arial"/>
          <w:sz w:val="22"/>
          <w:szCs w:val="22"/>
        </w:rPr>
        <w:noBreakHyphen/>
        <w:t xml:space="preserve">Vodafone tinham celebrado entre si um acordo ou tinham concertado as suas práticas. Tendo considerado que as condutas em causa restringiam sensivelmente a concorrência e eram, por conseguinte, proibidas pelo artigo 6.°,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da </w:t>
      </w:r>
      <w:proofErr w:type="spellStart"/>
      <w:r w:rsidRPr="002E087B">
        <w:rPr>
          <w:rFonts w:ascii="Arial" w:hAnsi="Arial" w:cs="Arial"/>
          <w:sz w:val="22"/>
          <w:szCs w:val="22"/>
        </w:rPr>
        <w:t>Mw</w:t>
      </w:r>
      <w:proofErr w:type="spellEnd"/>
      <w:r w:rsidRPr="002E087B">
        <w:rPr>
          <w:rFonts w:ascii="Arial" w:hAnsi="Arial" w:cs="Arial"/>
          <w:sz w:val="22"/>
          <w:szCs w:val="22"/>
        </w:rPr>
        <w:t xml:space="preserve">, a </w:t>
      </w:r>
      <w:proofErr w:type="spellStart"/>
      <w:r w:rsidRPr="002E087B">
        <w:rPr>
          <w:rFonts w:ascii="Arial" w:hAnsi="Arial" w:cs="Arial"/>
          <w:sz w:val="22"/>
          <w:szCs w:val="22"/>
        </w:rPr>
        <w:t>NMa</w:t>
      </w:r>
      <w:proofErr w:type="spellEnd"/>
      <w:r w:rsidRPr="002E087B">
        <w:rPr>
          <w:rFonts w:ascii="Arial" w:hAnsi="Arial" w:cs="Arial"/>
          <w:sz w:val="22"/>
          <w:szCs w:val="22"/>
        </w:rPr>
        <w:t xml:space="preserve"> aplicou coimas a estas empresas.</w:t>
      </w:r>
    </w:p>
    <w:p w:rsidR="00D80FE6" w:rsidRPr="002E087B" w:rsidRDefault="00D80FE6" w:rsidP="002E087B">
      <w:pPr>
        <w:pStyle w:val="c01pointnumerotealtn"/>
        <w:spacing w:line="276" w:lineRule="auto"/>
        <w:ind w:left="0"/>
        <w:rPr>
          <w:rFonts w:ascii="Arial" w:hAnsi="Arial" w:cs="Arial"/>
          <w:sz w:val="22"/>
          <w:szCs w:val="22"/>
        </w:rPr>
      </w:pPr>
      <w:bookmarkStart w:id="14" w:name="point14"/>
      <w:r w:rsidRPr="002E087B">
        <w:rPr>
          <w:rFonts w:ascii="Arial" w:hAnsi="Arial" w:cs="Arial"/>
          <w:sz w:val="22"/>
          <w:szCs w:val="22"/>
        </w:rPr>
        <w:t>14</w:t>
      </w:r>
      <w:bookmarkEnd w:id="14"/>
      <w:r w:rsidRPr="002E087B">
        <w:rPr>
          <w:rFonts w:ascii="Arial" w:hAnsi="Arial" w:cs="Arial"/>
          <w:sz w:val="22"/>
          <w:szCs w:val="22"/>
        </w:rPr>
        <w:t xml:space="preserve"> As referidas empresas reclamaram desta decisão da </w:t>
      </w:r>
      <w:proofErr w:type="spellStart"/>
      <w:r w:rsidRPr="002E087B">
        <w:rPr>
          <w:rFonts w:ascii="Arial" w:hAnsi="Arial" w:cs="Arial"/>
          <w:sz w:val="22"/>
          <w:szCs w:val="22"/>
        </w:rPr>
        <w:t>NMa</w:t>
      </w:r>
      <w:proofErr w:type="spellEnd"/>
      <w:r w:rsidRPr="002E087B">
        <w:rPr>
          <w:rFonts w:ascii="Arial" w:hAnsi="Arial" w:cs="Arial"/>
          <w:sz w:val="22"/>
          <w:szCs w:val="22"/>
        </w:rPr>
        <w:t>.</w:t>
      </w:r>
    </w:p>
    <w:p w:rsidR="00D80FE6" w:rsidRPr="002E087B" w:rsidRDefault="00D80FE6" w:rsidP="002E087B">
      <w:pPr>
        <w:pStyle w:val="c01pointnumerotealtn"/>
        <w:spacing w:line="276" w:lineRule="auto"/>
        <w:ind w:left="0"/>
        <w:rPr>
          <w:rFonts w:ascii="Arial" w:hAnsi="Arial" w:cs="Arial"/>
          <w:sz w:val="22"/>
          <w:szCs w:val="22"/>
        </w:rPr>
      </w:pPr>
      <w:bookmarkStart w:id="15" w:name="point15"/>
      <w:r w:rsidRPr="002E087B">
        <w:rPr>
          <w:rFonts w:ascii="Arial" w:hAnsi="Arial" w:cs="Arial"/>
          <w:sz w:val="22"/>
          <w:szCs w:val="22"/>
        </w:rPr>
        <w:t>15</w:t>
      </w:r>
      <w:bookmarkEnd w:id="15"/>
      <w:r w:rsidRPr="002E087B">
        <w:rPr>
          <w:rFonts w:ascii="Arial" w:hAnsi="Arial" w:cs="Arial"/>
          <w:sz w:val="22"/>
          <w:szCs w:val="22"/>
        </w:rPr>
        <w:t xml:space="preserve"> Por decisão de 27 de Setembro de 2004, a </w:t>
      </w:r>
      <w:proofErr w:type="spellStart"/>
      <w:r w:rsidRPr="002E087B">
        <w:rPr>
          <w:rFonts w:ascii="Arial" w:hAnsi="Arial" w:cs="Arial"/>
          <w:sz w:val="22"/>
          <w:szCs w:val="22"/>
        </w:rPr>
        <w:t>NMa</w:t>
      </w:r>
      <w:proofErr w:type="spellEnd"/>
      <w:r w:rsidRPr="002E087B">
        <w:rPr>
          <w:rFonts w:ascii="Arial" w:hAnsi="Arial" w:cs="Arial"/>
          <w:sz w:val="22"/>
          <w:szCs w:val="22"/>
        </w:rPr>
        <w:t xml:space="preserve"> considerou os fundamentos invocados pela T</w:t>
      </w:r>
      <w:r w:rsidRPr="002E087B">
        <w:rPr>
          <w:rFonts w:ascii="Arial" w:hAnsi="Arial" w:cs="Arial"/>
          <w:sz w:val="22"/>
          <w:szCs w:val="22"/>
        </w:rPr>
        <w:noBreakHyphen/>
        <w:t xml:space="preserve">Mobile, a KPN, a Orange, a </w:t>
      </w:r>
      <w:proofErr w:type="spellStart"/>
      <w:r w:rsidRPr="002E087B">
        <w:rPr>
          <w:rFonts w:ascii="Arial" w:hAnsi="Arial" w:cs="Arial"/>
          <w:sz w:val="22"/>
          <w:szCs w:val="22"/>
        </w:rPr>
        <w:t>Libertel</w:t>
      </w:r>
      <w:proofErr w:type="spellEnd"/>
      <w:r w:rsidRPr="002E087B">
        <w:rPr>
          <w:rFonts w:ascii="Arial" w:hAnsi="Arial" w:cs="Arial"/>
          <w:sz w:val="22"/>
          <w:szCs w:val="22"/>
        </w:rPr>
        <w:noBreakHyphen/>
        <w:t>Vodafone e a O2 (</w:t>
      </w:r>
      <w:proofErr w:type="spellStart"/>
      <w:r w:rsidRPr="002E087B">
        <w:rPr>
          <w:rFonts w:ascii="Arial" w:hAnsi="Arial" w:cs="Arial"/>
          <w:sz w:val="22"/>
          <w:szCs w:val="22"/>
        </w:rPr>
        <w:t>Netherlands</w:t>
      </w:r>
      <w:proofErr w:type="spellEnd"/>
      <w:r w:rsidRPr="002E087B">
        <w:rPr>
          <w:rFonts w:ascii="Arial" w:hAnsi="Arial" w:cs="Arial"/>
          <w:sz w:val="22"/>
          <w:szCs w:val="22"/>
        </w:rPr>
        <w:t xml:space="preserve">) parcialmente procedentes e declarou que as práticas descritas na decisão de 30 de Dezembro de 2002 constituíam uma </w:t>
      </w:r>
      <w:proofErr w:type="spellStart"/>
      <w:r w:rsidRPr="002E087B">
        <w:rPr>
          <w:rFonts w:ascii="Arial" w:hAnsi="Arial" w:cs="Arial"/>
          <w:sz w:val="22"/>
          <w:szCs w:val="22"/>
        </w:rPr>
        <w:t>infracção</w:t>
      </w:r>
      <w:proofErr w:type="spellEnd"/>
      <w:r w:rsidRPr="002E087B">
        <w:rPr>
          <w:rFonts w:ascii="Arial" w:hAnsi="Arial" w:cs="Arial"/>
          <w:sz w:val="22"/>
          <w:szCs w:val="22"/>
        </w:rPr>
        <w:t xml:space="preserve"> não só ao artigo 6.°,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da </w:t>
      </w:r>
      <w:proofErr w:type="spellStart"/>
      <w:r w:rsidRPr="002E087B">
        <w:rPr>
          <w:rFonts w:ascii="Arial" w:hAnsi="Arial" w:cs="Arial"/>
          <w:sz w:val="22"/>
          <w:szCs w:val="22"/>
        </w:rPr>
        <w:t>Mw</w:t>
      </w:r>
      <w:proofErr w:type="spellEnd"/>
      <w:r w:rsidRPr="002E087B">
        <w:rPr>
          <w:rFonts w:ascii="Arial" w:hAnsi="Arial" w:cs="Arial"/>
          <w:sz w:val="22"/>
          <w:szCs w:val="22"/>
        </w:rPr>
        <w:t xml:space="preserve"> mas também ao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Em consequência, a </w:t>
      </w:r>
      <w:proofErr w:type="spellStart"/>
      <w:r w:rsidRPr="002E087B">
        <w:rPr>
          <w:rFonts w:ascii="Arial" w:hAnsi="Arial" w:cs="Arial"/>
          <w:sz w:val="22"/>
          <w:szCs w:val="22"/>
        </w:rPr>
        <w:t>NMa</w:t>
      </w:r>
      <w:proofErr w:type="spellEnd"/>
      <w:r w:rsidRPr="002E087B">
        <w:rPr>
          <w:rFonts w:ascii="Arial" w:hAnsi="Arial" w:cs="Arial"/>
          <w:sz w:val="22"/>
          <w:szCs w:val="22"/>
        </w:rPr>
        <w:t xml:space="preserve"> manteve todas as coimas aplicadas às referidas sociedades, tendo embora reduzido os </w:t>
      </w:r>
      <w:proofErr w:type="spellStart"/>
      <w:r w:rsidRPr="002E087B">
        <w:rPr>
          <w:rFonts w:ascii="Arial" w:hAnsi="Arial" w:cs="Arial"/>
          <w:sz w:val="22"/>
          <w:szCs w:val="22"/>
        </w:rPr>
        <w:t>respectivos</w:t>
      </w:r>
      <w:proofErr w:type="spellEnd"/>
      <w:r w:rsidRPr="002E087B">
        <w:rPr>
          <w:rFonts w:ascii="Arial" w:hAnsi="Arial" w:cs="Arial"/>
          <w:sz w:val="22"/>
          <w:szCs w:val="22"/>
        </w:rPr>
        <w:t xml:space="preserve"> montantes.</w:t>
      </w:r>
    </w:p>
    <w:p w:rsidR="00D80FE6" w:rsidRPr="002E087B" w:rsidRDefault="00D80FE6" w:rsidP="002E087B">
      <w:pPr>
        <w:pStyle w:val="c01pointnumerotealtn"/>
        <w:spacing w:line="276" w:lineRule="auto"/>
        <w:ind w:left="0"/>
        <w:rPr>
          <w:rFonts w:ascii="Arial" w:hAnsi="Arial" w:cs="Arial"/>
          <w:sz w:val="22"/>
          <w:szCs w:val="22"/>
        </w:rPr>
      </w:pPr>
      <w:bookmarkStart w:id="16" w:name="point16"/>
      <w:r w:rsidRPr="002E087B">
        <w:rPr>
          <w:rFonts w:ascii="Arial" w:hAnsi="Arial" w:cs="Arial"/>
          <w:sz w:val="22"/>
          <w:szCs w:val="22"/>
        </w:rPr>
        <w:t>16</w:t>
      </w:r>
      <w:bookmarkEnd w:id="16"/>
      <w:r w:rsidRPr="002E087B">
        <w:rPr>
          <w:rFonts w:ascii="Arial" w:hAnsi="Arial" w:cs="Arial"/>
          <w:sz w:val="22"/>
          <w:szCs w:val="22"/>
        </w:rPr>
        <w:t xml:space="preserve"> A T</w:t>
      </w:r>
      <w:r w:rsidRPr="002E087B">
        <w:rPr>
          <w:rFonts w:ascii="Arial" w:hAnsi="Arial" w:cs="Arial"/>
          <w:sz w:val="22"/>
          <w:szCs w:val="22"/>
        </w:rPr>
        <w:noBreakHyphen/>
        <w:t xml:space="preserve">Mobile, a KPN, a Orange, a Vodafone e a </w:t>
      </w:r>
      <w:proofErr w:type="spellStart"/>
      <w:r w:rsidRPr="002E087B">
        <w:rPr>
          <w:rFonts w:ascii="Arial" w:hAnsi="Arial" w:cs="Arial"/>
          <w:sz w:val="22"/>
          <w:szCs w:val="22"/>
        </w:rPr>
        <w:t>Telfort</w:t>
      </w:r>
      <w:proofErr w:type="spellEnd"/>
      <w:r w:rsidRPr="002E087B">
        <w:rPr>
          <w:rFonts w:ascii="Arial" w:hAnsi="Arial" w:cs="Arial"/>
          <w:sz w:val="22"/>
          <w:szCs w:val="22"/>
        </w:rPr>
        <w:t xml:space="preserve"> interpuseram recurso da decisão de 27 de Setembro de 2004 no </w:t>
      </w:r>
      <w:proofErr w:type="spellStart"/>
      <w:r w:rsidRPr="002E087B">
        <w:rPr>
          <w:rFonts w:ascii="Arial" w:hAnsi="Arial" w:cs="Arial"/>
          <w:sz w:val="22"/>
          <w:szCs w:val="22"/>
        </w:rPr>
        <w:t>Rechtbank</w:t>
      </w:r>
      <w:proofErr w:type="spellEnd"/>
      <w:r w:rsidRPr="002E087B">
        <w:rPr>
          <w:rFonts w:ascii="Arial" w:hAnsi="Arial" w:cs="Arial"/>
          <w:sz w:val="22"/>
          <w:szCs w:val="22"/>
        </w:rPr>
        <w:t xml:space="preserve"> te Rotterdam. Este último tribunal, por sentença de 13 de Julho de 2006, anulou a decisão e remeteu os autos à </w:t>
      </w:r>
      <w:proofErr w:type="spellStart"/>
      <w:r w:rsidRPr="002E087B">
        <w:rPr>
          <w:rFonts w:ascii="Arial" w:hAnsi="Arial" w:cs="Arial"/>
          <w:sz w:val="22"/>
          <w:szCs w:val="22"/>
        </w:rPr>
        <w:t>NMa</w:t>
      </w:r>
      <w:proofErr w:type="spellEnd"/>
      <w:r w:rsidRPr="002E087B">
        <w:rPr>
          <w:rFonts w:ascii="Arial" w:hAnsi="Arial" w:cs="Arial"/>
          <w:sz w:val="22"/>
          <w:szCs w:val="22"/>
        </w:rPr>
        <w:t xml:space="preserve"> para esta se pronunciar de novo.</w:t>
      </w:r>
    </w:p>
    <w:p w:rsidR="00D80FE6" w:rsidRPr="002E087B" w:rsidRDefault="00D80FE6" w:rsidP="002E087B">
      <w:pPr>
        <w:pStyle w:val="c01pointnumerotealtn"/>
        <w:spacing w:line="276" w:lineRule="auto"/>
        <w:ind w:left="0"/>
        <w:rPr>
          <w:rFonts w:ascii="Arial" w:hAnsi="Arial" w:cs="Arial"/>
          <w:sz w:val="22"/>
          <w:szCs w:val="22"/>
        </w:rPr>
      </w:pPr>
      <w:bookmarkStart w:id="17" w:name="point17"/>
      <w:r w:rsidRPr="002E087B">
        <w:rPr>
          <w:rFonts w:ascii="Arial" w:hAnsi="Arial" w:cs="Arial"/>
          <w:sz w:val="22"/>
          <w:szCs w:val="22"/>
        </w:rPr>
        <w:t>17</w:t>
      </w:r>
      <w:bookmarkEnd w:id="17"/>
      <w:r w:rsidRPr="002E087B">
        <w:rPr>
          <w:rFonts w:ascii="Arial" w:hAnsi="Arial" w:cs="Arial"/>
          <w:sz w:val="22"/>
          <w:szCs w:val="22"/>
        </w:rPr>
        <w:t xml:space="preserve"> A T</w:t>
      </w:r>
      <w:r w:rsidRPr="002E087B">
        <w:rPr>
          <w:rFonts w:ascii="Arial" w:hAnsi="Arial" w:cs="Arial"/>
          <w:sz w:val="22"/>
          <w:szCs w:val="22"/>
        </w:rPr>
        <w:noBreakHyphen/>
        <w:t xml:space="preserve">Mobile, a KPN, a Orange, a Vodafone (a seguir, em conjunto, «operadores envolvidos») e a </w:t>
      </w:r>
      <w:proofErr w:type="spellStart"/>
      <w:r w:rsidRPr="002E087B">
        <w:rPr>
          <w:rFonts w:ascii="Arial" w:hAnsi="Arial" w:cs="Arial"/>
          <w:sz w:val="22"/>
          <w:szCs w:val="22"/>
        </w:rPr>
        <w:t>NMa</w:t>
      </w:r>
      <w:proofErr w:type="spellEnd"/>
      <w:r w:rsidRPr="002E087B">
        <w:rPr>
          <w:rFonts w:ascii="Arial" w:hAnsi="Arial" w:cs="Arial"/>
          <w:sz w:val="22"/>
          <w:szCs w:val="22"/>
        </w:rPr>
        <w:t xml:space="preserve"> interpuseram recurso da referida sentença no </w:t>
      </w:r>
      <w:proofErr w:type="spellStart"/>
      <w:r w:rsidRPr="002E087B">
        <w:rPr>
          <w:rFonts w:ascii="Arial" w:hAnsi="Arial" w:cs="Arial"/>
          <w:sz w:val="22"/>
          <w:szCs w:val="22"/>
        </w:rPr>
        <w:t>College</w:t>
      </w:r>
      <w:proofErr w:type="spellEnd"/>
      <w:r w:rsidRPr="002E087B">
        <w:rPr>
          <w:rFonts w:ascii="Arial" w:hAnsi="Arial" w:cs="Arial"/>
          <w:sz w:val="22"/>
          <w:szCs w:val="22"/>
        </w:rPr>
        <w:t xml:space="preserve"> van </w:t>
      </w:r>
      <w:proofErr w:type="spellStart"/>
      <w:r w:rsidRPr="002E087B">
        <w:rPr>
          <w:rFonts w:ascii="Arial" w:hAnsi="Arial" w:cs="Arial"/>
          <w:sz w:val="22"/>
          <w:szCs w:val="22"/>
        </w:rPr>
        <w:t>Beroep</w:t>
      </w:r>
      <w:proofErr w:type="spellEnd"/>
      <w:r w:rsidRPr="002E087B">
        <w:rPr>
          <w:rFonts w:ascii="Arial" w:hAnsi="Arial" w:cs="Arial"/>
          <w:sz w:val="22"/>
          <w:szCs w:val="22"/>
        </w:rPr>
        <w:t xml:space="preserve"> </w:t>
      </w:r>
      <w:proofErr w:type="spellStart"/>
      <w:r w:rsidRPr="002E087B">
        <w:rPr>
          <w:rFonts w:ascii="Arial" w:hAnsi="Arial" w:cs="Arial"/>
          <w:sz w:val="22"/>
          <w:szCs w:val="22"/>
        </w:rPr>
        <w:t>voor</w:t>
      </w:r>
      <w:proofErr w:type="spellEnd"/>
      <w:r w:rsidRPr="002E087B">
        <w:rPr>
          <w:rFonts w:ascii="Arial" w:hAnsi="Arial" w:cs="Arial"/>
          <w:sz w:val="22"/>
          <w:szCs w:val="22"/>
        </w:rPr>
        <w:t xml:space="preserve"> </w:t>
      </w:r>
      <w:proofErr w:type="spellStart"/>
      <w:r w:rsidRPr="002E087B">
        <w:rPr>
          <w:rFonts w:ascii="Arial" w:hAnsi="Arial" w:cs="Arial"/>
          <w:sz w:val="22"/>
          <w:szCs w:val="22"/>
        </w:rPr>
        <w:t>het</w:t>
      </w:r>
      <w:proofErr w:type="spellEnd"/>
      <w:r w:rsidRPr="002E087B">
        <w:rPr>
          <w:rFonts w:ascii="Arial" w:hAnsi="Arial" w:cs="Arial"/>
          <w:sz w:val="22"/>
          <w:szCs w:val="22"/>
        </w:rPr>
        <w:t xml:space="preserve"> </w:t>
      </w:r>
      <w:proofErr w:type="spellStart"/>
      <w:r w:rsidRPr="002E087B">
        <w:rPr>
          <w:rFonts w:ascii="Arial" w:hAnsi="Arial" w:cs="Arial"/>
          <w:sz w:val="22"/>
          <w:szCs w:val="22"/>
        </w:rPr>
        <w:t>bedrijfsleven</w:t>
      </w:r>
      <w:proofErr w:type="spellEnd"/>
      <w:r w:rsidRPr="002E087B">
        <w:rPr>
          <w:rFonts w:ascii="Arial" w:hAnsi="Arial" w:cs="Arial"/>
          <w:sz w:val="22"/>
          <w:szCs w:val="22"/>
        </w:rPr>
        <w:t xml:space="preserve">, que deve decidir se o conceito de prática concertada foi </w:t>
      </w:r>
      <w:proofErr w:type="spellStart"/>
      <w:r w:rsidRPr="002E087B">
        <w:rPr>
          <w:rFonts w:ascii="Arial" w:hAnsi="Arial" w:cs="Arial"/>
          <w:sz w:val="22"/>
          <w:szCs w:val="22"/>
        </w:rPr>
        <w:t>correctamente</w:t>
      </w:r>
      <w:proofErr w:type="spellEnd"/>
      <w:r w:rsidRPr="002E087B">
        <w:rPr>
          <w:rFonts w:ascii="Arial" w:hAnsi="Arial" w:cs="Arial"/>
          <w:sz w:val="22"/>
          <w:szCs w:val="22"/>
        </w:rPr>
        <w:t xml:space="preserve"> interpretado à luz da jurisprudência assente do Tribunal de Justiça sobre a matéria.</w:t>
      </w:r>
    </w:p>
    <w:p w:rsidR="00D80FE6" w:rsidRPr="002E087B" w:rsidRDefault="00D80FE6" w:rsidP="002E087B">
      <w:pPr>
        <w:pStyle w:val="c05titre2"/>
        <w:spacing w:line="276" w:lineRule="auto"/>
        <w:ind w:left="0"/>
        <w:rPr>
          <w:rFonts w:ascii="Arial" w:hAnsi="Arial" w:cs="Arial"/>
          <w:sz w:val="22"/>
          <w:szCs w:val="22"/>
        </w:rPr>
      </w:pPr>
      <w:r w:rsidRPr="002E087B">
        <w:rPr>
          <w:rFonts w:ascii="Arial" w:hAnsi="Arial" w:cs="Arial"/>
          <w:sz w:val="22"/>
          <w:szCs w:val="22"/>
        </w:rPr>
        <w:t>Posição do órgão jurisdicional de reenvio</w:t>
      </w:r>
    </w:p>
    <w:p w:rsidR="00D80FE6" w:rsidRPr="002E087B" w:rsidRDefault="00D80FE6" w:rsidP="002E087B">
      <w:pPr>
        <w:pStyle w:val="c01pointnumerotealtn"/>
        <w:spacing w:line="276" w:lineRule="auto"/>
        <w:ind w:left="0"/>
        <w:rPr>
          <w:rFonts w:ascii="Arial" w:hAnsi="Arial" w:cs="Arial"/>
          <w:sz w:val="22"/>
          <w:szCs w:val="22"/>
        </w:rPr>
      </w:pPr>
      <w:bookmarkStart w:id="18" w:name="point18"/>
      <w:r w:rsidRPr="002E087B">
        <w:rPr>
          <w:rFonts w:ascii="Arial" w:hAnsi="Arial" w:cs="Arial"/>
          <w:sz w:val="22"/>
          <w:szCs w:val="22"/>
        </w:rPr>
        <w:lastRenderedPageBreak/>
        <w:t>18</w:t>
      </w:r>
      <w:bookmarkEnd w:id="18"/>
      <w:r w:rsidRPr="002E087B">
        <w:rPr>
          <w:rFonts w:ascii="Arial" w:hAnsi="Arial" w:cs="Arial"/>
          <w:sz w:val="22"/>
          <w:szCs w:val="22"/>
        </w:rPr>
        <w:t xml:space="preserve"> O </w:t>
      </w:r>
      <w:proofErr w:type="spellStart"/>
      <w:r w:rsidRPr="002E087B">
        <w:rPr>
          <w:rFonts w:ascii="Arial" w:hAnsi="Arial" w:cs="Arial"/>
          <w:sz w:val="22"/>
          <w:szCs w:val="22"/>
        </w:rPr>
        <w:t>College</w:t>
      </w:r>
      <w:proofErr w:type="spellEnd"/>
      <w:r w:rsidRPr="002E087B">
        <w:rPr>
          <w:rFonts w:ascii="Arial" w:hAnsi="Arial" w:cs="Arial"/>
          <w:sz w:val="22"/>
          <w:szCs w:val="22"/>
        </w:rPr>
        <w:t xml:space="preserve"> van </w:t>
      </w:r>
      <w:proofErr w:type="spellStart"/>
      <w:r w:rsidRPr="002E087B">
        <w:rPr>
          <w:rFonts w:ascii="Arial" w:hAnsi="Arial" w:cs="Arial"/>
          <w:sz w:val="22"/>
          <w:szCs w:val="22"/>
        </w:rPr>
        <w:t>Beroep</w:t>
      </w:r>
      <w:proofErr w:type="spellEnd"/>
      <w:r w:rsidRPr="002E087B">
        <w:rPr>
          <w:rFonts w:ascii="Arial" w:hAnsi="Arial" w:cs="Arial"/>
          <w:sz w:val="22"/>
          <w:szCs w:val="22"/>
        </w:rPr>
        <w:t xml:space="preserve"> </w:t>
      </w:r>
      <w:proofErr w:type="spellStart"/>
      <w:r w:rsidRPr="002E087B">
        <w:rPr>
          <w:rFonts w:ascii="Arial" w:hAnsi="Arial" w:cs="Arial"/>
          <w:sz w:val="22"/>
          <w:szCs w:val="22"/>
        </w:rPr>
        <w:t>voor</w:t>
      </w:r>
      <w:proofErr w:type="spellEnd"/>
      <w:r w:rsidRPr="002E087B">
        <w:rPr>
          <w:rFonts w:ascii="Arial" w:hAnsi="Arial" w:cs="Arial"/>
          <w:sz w:val="22"/>
          <w:szCs w:val="22"/>
        </w:rPr>
        <w:t xml:space="preserve"> </w:t>
      </w:r>
      <w:proofErr w:type="spellStart"/>
      <w:r w:rsidRPr="002E087B">
        <w:rPr>
          <w:rFonts w:ascii="Arial" w:hAnsi="Arial" w:cs="Arial"/>
          <w:sz w:val="22"/>
          <w:szCs w:val="22"/>
        </w:rPr>
        <w:t>het</w:t>
      </w:r>
      <w:proofErr w:type="spellEnd"/>
      <w:r w:rsidRPr="002E087B">
        <w:rPr>
          <w:rFonts w:ascii="Arial" w:hAnsi="Arial" w:cs="Arial"/>
          <w:sz w:val="22"/>
          <w:szCs w:val="22"/>
        </w:rPr>
        <w:t xml:space="preserve"> </w:t>
      </w:r>
      <w:proofErr w:type="spellStart"/>
      <w:r w:rsidRPr="002E087B">
        <w:rPr>
          <w:rFonts w:ascii="Arial" w:hAnsi="Arial" w:cs="Arial"/>
          <w:sz w:val="22"/>
          <w:szCs w:val="22"/>
        </w:rPr>
        <w:t>bedrijfsleven</w:t>
      </w:r>
      <w:proofErr w:type="spellEnd"/>
      <w:r w:rsidRPr="002E087B">
        <w:rPr>
          <w:rFonts w:ascii="Arial" w:hAnsi="Arial" w:cs="Arial"/>
          <w:sz w:val="22"/>
          <w:szCs w:val="22"/>
        </w:rPr>
        <w:t xml:space="preserve"> considera que deve determinar, por um lado, se a troca de informações sobre as assinaturas com pós</w:t>
      </w:r>
      <w:r w:rsidRPr="002E087B">
        <w:rPr>
          <w:rFonts w:ascii="Arial" w:hAnsi="Arial" w:cs="Arial"/>
          <w:sz w:val="22"/>
          <w:szCs w:val="22"/>
        </w:rPr>
        <w:noBreakHyphen/>
        <w:t xml:space="preserve">pagamento na reunião de 13 de Junho de 2001 tinha por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restringir a concorrência e se foi legitimamente que a </w:t>
      </w:r>
      <w:proofErr w:type="spellStart"/>
      <w:r w:rsidRPr="002E087B">
        <w:rPr>
          <w:rFonts w:ascii="Arial" w:hAnsi="Arial" w:cs="Arial"/>
          <w:sz w:val="22"/>
          <w:szCs w:val="22"/>
        </w:rPr>
        <w:t>NMa</w:t>
      </w:r>
      <w:proofErr w:type="spellEnd"/>
      <w:r w:rsidRPr="002E087B">
        <w:rPr>
          <w:rFonts w:ascii="Arial" w:hAnsi="Arial" w:cs="Arial"/>
          <w:sz w:val="22"/>
          <w:szCs w:val="22"/>
        </w:rPr>
        <w:t xml:space="preserve"> não analisou os efeitos da prática concertada e, por outro, se há um nexo de causalidade entre essa concertação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dos operadores envolvidos.</w:t>
      </w:r>
    </w:p>
    <w:p w:rsidR="00D80FE6" w:rsidRPr="002E087B" w:rsidRDefault="00D80FE6" w:rsidP="002E087B">
      <w:pPr>
        <w:pStyle w:val="c01pointnumerotealtn"/>
        <w:spacing w:line="276" w:lineRule="auto"/>
        <w:ind w:left="0"/>
        <w:rPr>
          <w:rFonts w:ascii="Arial" w:hAnsi="Arial" w:cs="Arial"/>
          <w:sz w:val="22"/>
          <w:szCs w:val="22"/>
        </w:rPr>
      </w:pPr>
      <w:bookmarkStart w:id="19" w:name="point19"/>
      <w:r w:rsidRPr="002E087B">
        <w:rPr>
          <w:rFonts w:ascii="Arial" w:hAnsi="Arial" w:cs="Arial"/>
          <w:sz w:val="22"/>
          <w:szCs w:val="22"/>
        </w:rPr>
        <w:t>19</w:t>
      </w:r>
      <w:bookmarkEnd w:id="19"/>
      <w:r w:rsidRPr="002E087B">
        <w:rPr>
          <w:rFonts w:ascii="Arial" w:hAnsi="Arial" w:cs="Arial"/>
          <w:sz w:val="22"/>
          <w:szCs w:val="22"/>
        </w:rPr>
        <w:t xml:space="preserve"> O órgão jurisdicional de reenvio começa por especificar que a prática concertada em causa no processo principal não diz respeito aos preços finais de venda ao consumidor a aplicar pelos operadores envolvidos nem às tarifas das assinaturas com pós</w:t>
      </w:r>
      <w:r w:rsidRPr="002E087B">
        <w:rPr>
          <w:rFonts w:ascii="Arial" w:hAnsi="Arial" w:cs="Arial"/>
          <w:sz w:val="22"/>
          <w:szCs w:val="22"/>
        </w:rPr>
        <w:noBreakHyphen/>
        <w:t xml:space="preserve">pagamento a </w:t>
      </w:r>
      <w:proofErr w:type="spellStart"/>
      <w:r w:rsidRPr="002E087B">
        <w:rPr>
          <w:rFonts w:ascii="Arial" w:hAnsi="Arial" w:cs="Arial"/>
          <w:sz w:val="22"/>
          <w:szCs w:val="22"/>
        </w:rPr>
        <w:t>facturar</w:t>
      </w:r>
      <w:proofErr w:type="spellEnd"/>
      <w:r w:rsidRPr="002E087B">
        <w:rPr>
          <w:rFonts w:ascii="Arial" w:hAnsi="Arial" w:cs="Arial"/>
          <w:sz w:val="22"/>
          <w:szCs w:val="22"/>
        </w:rPr>
        <w:t xml:space="preserve"> pelos mesmos aos consumidores finais. Tem por </w:t>
      </w:r>
      <w:proofErr w:type="spellStart"/>
      <w:r w:rsidRPr="002E087B">
        <w:rPr>
          <w:rFonts w:ascii="Arial" w:hAnsi="Arial" w:cs="Arial"/>
          <w:sz w:val="22"/>
          <w:szCs w:val="22"/>
        </w:rPr>
        <w:t>objecto</w:t>
      </w:r>
      <w:proofErr w:type="spellEnd"/>
      <w:r w:rsidRPr="002E087B">
        <w:rPr>
          <w:rFonts w:ascii="Arial" w:hAnsi="Arial" w:cs="Arial"/>
          <w:sz w:val="22"/>
          <w:szCs w:val="22"/>
        </w:rPr>
        <w:t xml:space="preserve">, na realidade, a remuneração que estes operadores tencionam pagar pelos serviços que os revendedores lhes prestam. Por conseguinte, o referido tribunal salienta que não se pode considerar que a prática concertada tem </w:t>
      </w:r>
      <w:proofErr w:type="spellStart"/>
      <w:r w:rsidRPr="002E087B">
        <w:rPr>
          <w:rFonts w:ascii="Arial" w:hAnsi="Arial" w:cs="Arial"/>
          <w:sz w:val="22"/>
          <w:szCs w:val="22"/>
        </w:rPr>
        <w:t>directamente</w:t>
      </w:r>
      <w:proofErr w:type="spellEnd"/>
      <w:r w:rsidRPr="002E087B">
        <w:rPr>
          <w:rFonts w:ascii="Arial" w:hAnsi="Arial" w:cs="Arial"/>
          <w:sz w:val="22"/>
          <w:szCs w:val="22"/>
        </w:rPr>
        <w:t xml:space="preserve"> por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determinar os preços das assinaturas com pós</w:t>
      </w:r>
      <w:r w:rsidRPr="002E087B">
        <w:rPr>
          <w:rFonts w:ascii="Arial" w:hAnsi="Arial" w:cs="Arial"/>
          <w:sz w:val="22"/>
          <w:szCs w:val="22"/>
        </w:rPr>
        <w:noBreakHyphen/>
        <w:t>pagamento no mercado retalhista.</w:t>
      </w:r>
    </w:p>
    <w:p w:rsidR="00D80FE6" w:rsidRPr="002E087B" w:rsidRDefault="00D80FE6" w:rsidP="002E087B">
      <w:pPr>
        <w:pStyle w:val="c01pointnumerotealtn"/>
        <w:spacing w:line="276" w:lineRule="auto"/>
        <w:ind w:left="0"/>
        <w:rPr>
          <w:rFonts w:ascii="Arial" w:hAnsi="Arial" w:cs="Arial"/>
          <w:sz w:val="22"/>
          <w:szCs w:val="22"/>
        </w:rPr>
      </w:pPr>
      <w:bookmarkStart w:id="20" w:name="point20"/>
      <w:r w:rsidRPr="002E087B">
        <w:rPr>
          <w:rFonts w:ascii="Arial" w:hAnsi="Arial" w:cs="Arial"/>
          <w:sz w:val="22"/>
          <w:szCs w:val="22"/>
        </w:rPr>
        <w:t>20</w:t>
      </w:r>
      <w:bookmarkEnd w:id="20"/>
      <w:r w:rsidRPr="002E087B">
        <w:rPr>
          <w:rFonts w:ascii="Arial" w:hAnsi="Arial" w:cs="Arial"/>
          <w:sz w:val="22"/>
          <w:szCs w:val="22"/>
        </w:rPr>
        <w:t xml:space="preserve"> Em seguida, o </w:t>
      </w:r>
      <w:proofErr w:type="spellStart"/>
      <w:r w:rsidRPr="002E087B">
        <w:rPr>
          <w:rFonts w:ascii="Arial" w:hAnsi="Arial" w:cs="Arial"/>
          <w:sz w:val="22"/>
          <w:szCs w:val="22"/>
        </w:rPr>
        <w:t>College</w:t>
      </w:r>
      <w:proofErr w:type="spellEnd"/>
      <w:r w:rsidRPr="002E087B">
        <w:rPr>
          <w:rFonts w:ascii="Arial" w:hAnsi="Arial" w:cs="Arial"/>
          <w:sz w:val="22"/>
          <w:szCs w:val="22"/>
        </w:rPr>
        <w:t xml:space="preserve"> van </w:t>
      </w:r>
      <w:proofErr w:type="spellStart"/>
      <w:r w:rsidRPr="002E087B">
        <w:rPr>
          <w:rFonts w:ascii="Arial" w:hAnsi="Arial" w:cs="Arial"/>
          <w:sz w:val="22"/>
          <w:szCs w:val="22"/>
        </w:rPr>
        <w:t>Beroep</w:t>
      </w:r>
      <w:proofErr w:type="spellEnd"/>
      <w:r w:rsidRPr="002E087B">
        <w:rPr>
          <w:rFonts w:ascii="Arial" w:hAnsi="Arial" w:cs="Arial"/>
          <w:sz w:val="22"/>
          <w:szCs w:val="22"/>
        </w:rPr>
        <w:t xml:space="preserve"> </w:t>
      </w:r>
      <w:proofErr w:type="spellStart"/>
      <w:r w:rsidRPr="002E087B">
        <w:rPr>
          <w:rFonts w:ascii="Arial" w:hAnsi="Arial" w:cs="Arial"/>
          <w:sz w:val="22"/>
          <w:szCs w:val="22"/>
        </w:rPr>
        <w:t>voor</w:t>
      </w:r>
      <w:proofErr w:type="spellEnd"/>
      <w:r w:rsidRPr="002E087B">
        <w:rPr>
          <w:rFonts w:ascii="Arial" w:hAnsi="Arial" w:cs="Arial"/>
          <w:sz w:val="22"/>
          <w:szCs w:val="22"/>
        </w:rPr>
        <w:t xml:space="preserve"> </w:t>
      </w:r>
      <w:proofErr w:type="spellStart"/>
      <w:r w:rsidRPr="002E087B">
        <w:rPr>
          <w:rFonts w:ascii="Arial" w:hAnsi="Arial" w:cs="Arial"/>
          <w:sz w:val="22"/>
          <w:szCs w:val="22"/>
        </w:rPr>
        <w:t>het</w:t>
      </w:r>
      <w:proofErr w:type="spellEnd"/>
      <w:r w:rsidRPr="002E087B">
        <w:rPr>
          <w:rFonts w:ascii="Arial" w:hAnsi="Arial" w:cs="Arial"/>
          <w:sz w:val="22"/>
          <w:szCs w:val="22"/>
        </w:rPr>
        <w:t xml:space="preserve"> </w:t>
      </w:r>
      <w:proofErr w:type="spellStart"/>
      <w:r w:rsidRPr="002E087B">
        <w:rPr>
          <w:rFonts w:ascii="Arial" w:hAnsi="Arial" w:cs="Arial"/>
          <w:sz w:val="22"/>
          <w:szCs w:val="22"/>
        </w:rPr>
        <w:t>bedrijfsleven</w:t>
      </w:r>
      <w:proofErr w:type="spellEnd"/>
      <w:r w:rsidRPr="002E087B">
        <w:rPr>
          <w:rFonts w:ascii="Arial" w:hAnsi="Arial" w:cs="Arial"/>
          <w:sz w:val="22"/>
          <w:szCs w:val="22"/>
        </w:rPr>
        <w:t xml:space="preserve"> refere que tem dúvidas sobre se </w:t>
      </w:r>
      <w:proofErr w:type="spellStart"/>
      <w:r w:rsidRPr="002E087B">
        <w:rPr>
          <w:rFonts w:ascii="Arial" w:hAnsi="Arial" w:cs="Arial"/>
          <w:sz w:val="22"/>
          <w:szCs w:val="22"/>
        </w:rPr>
        <w:t>se</w:t>
      </w:r>
      <w:proofErr w:type="spellEnd"/>
      <w:r w:rsidRPr="002E087B">
        <w:rPr>
          <w:rFonts w:ascii="Arial" w:hAnsi="Arial" w:cs="Arial"/>
          <w:sz w:val="22"/>
          <w:szCs w:val="22"/>
        </w:rPr>
        <w:t xml:space="preserve"> pode considerar que a prática concertada dos operadores envolvidos, relativa às remunerações pagas aos revendedores pela celebração de contratos de assinatura com pós</w:t>
      </w:r>
      <w:r w:rsidRPr="002E087B">
        <w:rPr>
          <w:rFonts w:ascii="Arial" w:hAnsi="Arial" w:cs="Arial"/>
          <w:sz w:val="22"/>
          <w:szCs w:val="22"/>
        </w:rPr>
        <w:noBreakHyphen/>
        <w:t xml:space="preserve">pagamento, tem por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impedir, restringir ou falsear a concorrência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Com efeito, refere que a jurisprudência do Tribunal de Justiça em matéria de concorrência pode ser interpretada no sentido de que um acordo ou uma prática concertada se destina a restringir a concorrência quando a experiência mostre que o referido acordo ou a referida prática tem sempre ou quase sempre por efeito impedir, restringir ou falsear a concorrência, independentemente das circunstâncias económicas. É o que acontece, segundo o órgão jurisdicional de reenvio, quando as consequências danosas reais são inegáveis e se verificarão quaisquer que sejam as características do mercado em causa. Segundo afirma, por conseguinte, os efeitos de uma prática concertada devem ser sempre analisados, para evitar que se considere que um comportamento tem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restritivo da concorrência quando se verifica que não teve efeitos restritivos.</w:t>
      </w:r>
    </w:p>
    <w:p w:rsidR="00D80FE6" w:rsidRPr="002E087B" w:rsidRDefault="00D80FE6" w:rsidP="002E087B">
      <w:pPr>
        <w:pStyle w:val="c01pointnumerotealtn"/>
        <w:spacing w:line="276" w:lineRule="auto"/>
        <w:ind w:left="0"/>
        <w:rPr>
          <w:rFonts w:ascii="Arial" w:hAnsi="Arial" w:cs="Arial"/>
          <w:sz w:val="22"/>
          <w:szCs w:val="22"/>
        </w:rPr>
      </w:pPr>
      <w:bookmarkStart w:id="21" w:name="point21"/>
      <w:r w:rsidRPr="002E087B">
        <w:rPr>
          <w:rFonts w:ascii="Arial" w:hAnsi="Arial" w:cs="Arial"/>
          <w:sz w:val="22"/>
          <w:szCs w:val="22"/>
        </w:rPr>
        <w:t>21</w:t>
      </w:r>
      <w:bookmarkEnd w:id="21"/>
      <w:r w:rsidRPr="002E087B">
        <w:rPr>
          <w:rFonts w:ascii="Arial" w:hAnsi="Arial" w:cs="Arial"/>
          <w:sz w:val="22"/>
          <w:szCs w:val="22"/>
        </w:rPr>
        <w:t xml:space="preserve"> Por último, no que diz respeito ao nexo de causalidade entre a concertação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dos referidos operadores no mercado, o órgão jurisdicional de reenvio duvida da pertinência da presunção enunciada nos acórdãos de 8 de Julho de 1999, Comissão/</w:t>
      </w:r>
      <w:proofErr w:type="spellStart"/>
      <w:r w:rsidRPr="002E087B">
        <w:rPr>
          <w:rFonts w:ascii="Arial" w:hAnsi="Arial" w:cs="Arial"/>
          <w:sz w:val="22"/>
          <w:szCs w:val="22"/>
        </w:rPr>
        <w:t>Anic</w:t>
      </w:r>
      <w:proofErr w:type="spellEnd"/>
      <w:r w:rsidRPr="002E087B">
        <w:rPr>
          <w:rFonts w:ascii="Arial" w:hAnsi="Arial" w:cs="Arial"/>
          <w:sz w:val="22"/>
          <w:szCs w:val="22"/>
        </w:rPr>
        <w:t xml:space="preserve"> </w:t>
      </w:r>
      <w:proofErr w:type="spellStart"/>
      <w:r w:rsidRPr="002E087B">
        <w:rPr>
          <w:rFonts w:ascii="Arial" w:hAnsi="Arial" w:cs="Arial"/>
          <w:sz w:val="22"/>
          <w:szCs w:val="22"/>
        </w:rPr>
        <w:t>Partecipazioni</w:t>
      </w:r>
      <w:proofErr w:type="spellEnd"/>
      <w:r w:rsidRPr="002E087B">
        <w:rPr>
          <w:rFonts w:ascii="Arial" w:hAnsi="Arial" w:cs="Arial"/>
          <w:sz w:val="22"/>
          <w:szCs w:val="22"/>
        </w:rPr>
        <w:t xml:space="preserve"> (C</w:t>
      </w:r>
      <w:r w:rsidRPr="002E087B">
        <w:rPr>
          <w:rFonts w:ascii="Arial" w:hAnsi="Arial" w:cs="Arial"/>
          <w:sz w:val="22"/>
          <w:szCs w:val="22"/>
        </w:rPr>
        <w:noBreakHyphen/>
        <w:t xml:space="preserve">49/92 P, </w:t>
      </w:r>
      <w:proofErr w:type="spellStart"/>
      <w:r w:rsidRPr="002E087B">
        <w:rPr>
          <w:rFonts w:ascii="Arial" w:hAnsi="Arial" w:cs="Arial"/>
          <w:sz w:val="22"/>
          <w:szCs w:val="22"/>
        </w:rPr>
        <w:t>Colect</w:t>
      </w:r>
      <w:proofErr w:type="spellEnd"/>
      <w:r w:rsidRPr="002E087B">
        <w:rPr>
          <w:rFonts w:ascii="Arial" w:hAnsi="Arial" w:cs="Arial"/>
          <w:sz w:val="22"/>
          <w:szCs w:val="22"/>
        </w:rPr>
        <w:t>., p. I</w:t>
      </w:r>
      <w:r w:rsidRPr="002E087B">
        <w:rPr>
          <w:rFonts w:ascii="Arial" w:hAnsi="Arial" w:cs="Arial"/>
          <w:sz w:val="22"/>
          <w:szCs w:val="22"/>
        </w:rPr>
        <w:noBreakHyphen/>
        <w:t xml:space="preserve">4125), e </w:t>
      </w:r>
      <w:proofErr w:type="spellStart"/>
      <w:r w:rsidRPr="002E087B">
        <w:rPr>
          <w:rFonts w:ascii="Arial" w:hAnsi="Arial" w:cs="Arial"/>
          <w:sz w:val="22"/>
          <w:szCs w:val="22"/>
        </w:rPr>
        <w:t>Hüls</w:t>
      </w:r>
      <w:proofErr w:type="spellEnd"/>
      <w:r w:rsidRPr="002E087B">
        <w:rPr>
          <w:rFonts w:ascii="Arial" w:hAnsi="Arial" w:cs="Arial"/>
          <w:sz w:val="22"/>
          <w:szCs w:val="22"/>
        </w:rPr>
        <w:t>/Comissão (C</w:t>
      </w:r>
      <w:r w:rsidRPr="002E087B">
        <w:rPr>
          <w:rFonts w:ascii="Arial" w:hAnsi="Arial" w:cs="Arial"/>
          <w:sz w:val="22"/>
          <w:szCs w:val="22"/>
        </w:rPr>
        <w:noBreakHyphen/>
        <w:t xml:space="preserve">199/92 P, </w:t>
      </w:r>
      <w:proofErr w:type="spellStart"/>
      <w:r w:rsidRPr="002E087B">
        <w:rPr>
          <w:rFonts w:ascii="Arial" w:hAnsi="Arial" w:cs="Arial"/>
          <w:sz w:val="22"/>
          <w:szCs w:val="22"/>
        </w:rPr>
        <w:t>Colect</w:t>
      </w:r>
      <w:proofErr w:type="spellEnd"/>
      <w:r w:rsidRPr="002E087B">
        <w:rPr>
          <w:rFonts w:ascii="Arial" w:hAnsi="Arial" w:cs="Arial"/>
          <w:sz w:val="22"/>
          <w:szCs w:val="22"/>
        </w:rPr>
        <w:t>., p. I</w:t>
      </w:r>
      <w:r w:rsidRPr="002E087B">
        <w:rPr>
          <w:rFonts w:ascii="Arial" w:hAnsi="Arial" w:cs="Arial"/>
          <w:sz w:val="22"/>
          <w:szCs w:val="22"/>
        </w:rPr>
        <w:noBreakHyphen/>
        <w:t xml:space="preserve">4287), segundo a qual, sem prejuízo da prova em contrário que aos operadores interessados cabe fazer, as empresas que participam na concertação e que continuam </w:t>
      </w:r>
      <w:proofErr w:type="spellStart"/>
      <w:r w:rsidRPr="002E087B">
        <w:rPr>
          <w:rFonts w:ascii="Arial" w:hAnsi="Arial" w:cs="Arial"/>
          <w:sz w:val="22"/>
          <w:szCs w:val="22"/>
        </w:rPr>
        <w:t>activas</w:t>
      </w:r>
      <w:proofErr w:type="spellEnd"/>
      <w:r w:rsidRPr="002E087B">
        <w:rPr>
          <w:rFonts w:ascii="Arial" w:hAnsi="Arial" w:cs="Arial"/>
          <w:sz w:val="22"/>
          <w:szCs w:val="22"/>
        </w:rPr>
        <w:t xml:space="preserve"> no mercado levam em linha de conta as informações que trocaram com os seus concorrentes para determinar o seu comportamento nesse mercado. Isto é tanto mais certo quanto a concertação ocorra regularmente durante um longo período. O referido órgão jurisdicional de reenvio pretende saber se, por força do direito comunitário, é obrigado a aplicar esta presunção, apesar da existência de disposições nacionais diferentes em matéria de repartição do ónus da prova, e se esta presunção é aplicável a situações em que uma única reunião serve de fundamento à concertação.</w:t>
      </w:r>
    </w:p>
    <w:p w:rsidR="00D80FE6" w:rsidRPr="002E087B" w:rsidRDefault="00D80FE6" w:rsidP="002E087B">
      <w:pPr>
        <w:pStyle w:val="c01pointnumerotealtn"/>
        <w:spacing w:line="276" w:lineRule="auto"/>
        <w:ind w:left="0"/>
        <w:rPr>
          <w:rFonts w:ascii="Arial" w:hAnsi="Arial" w:cs="Arial"/>
          <w:sz w:val="22"/>
          <w:szCs w:val="22"/>
        </w:rPr>
      </w:pPr>
      <w:bookmarkStart w:id="22" w:name="point22"/>
      <w:r w:rsidRPr="002E087B">
        <w:rPr>
          <w:rFonts w:ascii="Arial" w:hAnsi="Arial" w:cs="Arial"/>
          <w:sz w:val="22"/>
          <w:szCs w:val="22"/>
        </w:rPr>
        <w:lastRenderedPageBreak/>
        <w:t>22</w:t>
      </w:r>
      <w:bookmarkEnd w:id="22"/>
      <w:r w:rsidRPr="002E087B">
        <w:rPr>
          <w:rFonts w:ascii="Arial" w:hAnsi="Arial" w:cs="Arial"/>
          <w:sz w:val="22"/>
          <w:szCs w:val="22"/>
        </w:rPr>
        <w:t xml:space="preserve"> Foi nestas condições que o </w:t>
      </w:r>
      <w:proofErr w:type="spellStart"/>
      <w:r w:rsidRPr="002E087B">
        <w:rPr>
          <w:rFonts w:ascii="Arial" w:hAnsi="Arial" w:cs="Arial"/>
          <w:sz w:val="22"/>
          <w:szCs w:val="22"/>
        </w:rPr>
        <w:t>College</w:t>
      </w:r>
      <w:proofErr w:type="spellEnd"/>
      <w:r w:rsidRPr="002E087B">
        <w:rPr>
          <w:rFonts w:ascii="Arial" w:hAnsi="Arial" w:cs="Arial"/>
          <w:sz w:val="22"/>
          <w:szCs w:val="22"/>
        </w:rPr>
        <w:t xml:space="preserve"> van </w:t>
      </w:r>
      <w:proofErr w:type="spellStart"/>
      <w:r w:rsidRPr="002E087B">
        <w:rPr>
          <w:rFonts w:ascii="Arial" w:hAnsi="Arial" w:cs="Arial"/>
          <w:sz w:val="22"/>
          <w:szCs w:val="22"/>
        </w:rPr>
        <w:t>Beroep</w:t>
      </w:r>
      <w:proofErr w:type="spellEnd"/>
      <w:r w:rsidRPr="002E087B">
        <w:rPr>
          <w:rFonts w:ascii="Arial" w:hAnsi="Arial" w:cs="Arial"/>
          <w:sz w:val="22"/>
          <w:szCs w:val="22"/>
        </w:rPr>
        <w:t xml:space="preserve"> </w:t>
      </w:r>
      <w:proofErr w:type="spellStart"/>
      <w:r w:rsidRPr="002E087B">
        <w:rPr>
          <w:rFonts w:ascii="Arial" w:hAnsi="Arial" w:cs="Arial"/>
          <w:sz w:val="22"/>
          <w:szCs w:val="22"/>
        </w:rPr>
        <w:t>voor</w:t>
      </w:r>
      <w:proofErr w:type="spellEnd"/>
      <w:r w:rsidRPr="002E087B">
        <w:rPr>
          <w:rFonts w:ascii="Arial" w:hAnsi="Arial" w:cs="Arial"/>
          <w:sz w:val="22"/>
          <w:szCs w:val="22"/>
        </w:rPr>
        <w:t xml:space="preserve"> </w:t>
      </w:r>
      <w:proofErr w:type="spellStart"/>
      <w:r w:rsidRPr="002E087B">
        <w:rPr>
          <w:rFonts w:ascii="Arial" w:hAnsi="Arial" w:cs="Arial"/>
          <w:sz w:val="22"/>
          <w:szCs w:val="22"/>
        </w:rPr>
        <w:t>het</w:t>
      </w:r>
      <w:proofErr w:type="spellEnd"/>
      <w:r w:rsidRPr="002E087B">
        <w:rPr>
          <w:rFonts w:ascii="Arial" w:hAnsi="Arial" w:cs="Arial"/>
          <w:sz w:val="22"/>
          <w:szCs w:val="22"/>
        </w:rPr>
        <w:t xml:space="preserve"> </w:t>
      </w:r>
      <w:proofErr w:type="spellStart"/>
      <w:r w:rsidRPr="002E087B">
        <w:rPr>
          <w:rFonts w:ascii="Arial" w:hAnsi="Arial" w:cs="Arial"/>
          <w:sz w:val="22"/>
          <w:szCs w:val="22"/>
        </w:rPr>
        <w:t>bedrijfsleven</w:t>
      </w:r>
      <w:proofErr w:type="spellEnd"/>
      <w:r w:rsidRPr="002E087B">
        <w:rPr>
          <w:rFonts w:ascii="Arial" w:hAnsi="Arial" w:cs="Arial"/>
          <w:sz w:val="22"/>
          <w:szCs w:val="22"/>
        </w:rPr>
        <w:t xml:space="preserve"> decidiu suspender a instância e submeter à apreciação do Tribunal de Justiça as seguintes questões prejudiciais:</w:t>
      </w:r>
    </w:p>
    <w:p w:rsidR="00D80FE6" w:rsidRPr="002E087B" w:rsidRDefault="00D80FE6" w:rsidP="002E087B">
      <w:pPr>
        <w:pStyle w:val="c09marge0avecretrait"/>
        <w:spacing w:line="276" w:lineRule="auto"/>
        <w:ind w:left="0"/>
        <w:rPr>
          <w:rFonts w:ascii="Arial" w:hAnsi="Arial" w:cs="Arial"/>
          <w:sz w:val="22"/>
          <w:szCs w:val="22"/>
        </w:rPr>
      </w:pPr>
      <w:r w:rsidRPr="002E087B">
        <w:rPr>
          <w:rFonts w:ascii="Arial" w:hAnsi="Arial" w:cs="Arial"/>
          <w:sz w:val="22"/>
          <w:szCs w:val="22"/>
        </w:rPr>
        <w:t xml:space="preserve">«1) Que critérios devem ser seguidos, na aplicação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quanto à apreciação da questão de saber se uma prática concertada visa impedir, restringir ou falsear a concorrência no mercado comunitário?</w:t>
      </w:r>
    </w:p>
    <w:p w:rsidR="00D80FE6" w:rsidRPr="002E087B" w:rsidRDefault="00D80FE6" w:rsidP="002E087B">
      <w:pPr>
        <w:pStyle w:val="c09marge0avecretrait"/>
        <w:spacing w:line="276" w:lineRule="auto"/>
        <w:ind w:left="0"/>
        <w:rPr>
          <w:rFonts w:ascii="Arial" w:hAnsi="Arial" w:cs="Arial"/>
          <w:sz w:val="22"/>
          <w:szCs w:val="22"/>
        </w:rPr>
      </w:pPr>
      <w:r w:rsidRPr="002E087B">
        <w:rPr>
          <w:rFonts w:ascii="Arial" w:hAnsi="Arial" w:cs="Arial"/>
          <w:sz w:val="22"/>
          <w:szCs w:val="22"/>
        </w:rPr>
        <w:t xml:space="preserve">2) O artigo 81.° </w:t>
      </w:r>
      <w:proofErr w:type="gramStart"/>
      <w:r w:rsidRPr="002E087B">
        <w:rPr>
          <w:rFonts w:ascii="Arial" w:hAnsi="Arial" w:cs="Arial"/>
          <w:sz w:val="22"/>
          <w:szCs w:val="22"/>
        </w:rPr>
        <w:t>CE deve ser interpretado</w:t>
      </w:r>
      <w:proofErr w:type="gramEnd"/>
      <w:r w:rsidRPr="002E087B">
        <w:rPr>
          <w:rFonts w:ascii="Arial" w:hAnsi="Arial" w:cs="Arial"/>
          <w:sz w:val="22"/>
          <w:szCs w:val="22"/>
        </w:rPr>
        <w:t xml:space="preserve"> no sentido de que, na aplicação desta disposição pelo juiz nacional, a prova do nexo de causalidade entre a prática concertada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deve ser produzida e apreciada de acordo com as normas do direito nacional, desde que essas normas não sejam menos favoráveis do que as que seriam aplicáveis em processos nacionais do mesmo tipo e não tornem o exercício dos direitos decorrentes do direito comunitário impossível na prática ou extremamente difícil?</w:t>
      </w:r>
    </w:p>
    <w:p w:rsidR="00D80FE6" w:rsidRPr="002E087B" w:rsidRDefault="00D80FE6" w:rsidP="002E087B">
      <w:pPr>
        <w:pStyle w:val="c09marge0avecretrait"/>
        <w:spacing w:line="276" w:lineRule="auto"/>
        <w:ind w:left="0"/>
        <w:rPr>
          <w:rFonts w:ascii="Arial" w:hAnsi="Arial" w:cs="Arial"/>
          <w:sz w:val="22"/>
          <w:szCs w:val="22"/>
        </w:rPr>
      </w:pPr>
      <w:r w:rsidRPr="002E087B">
        <w:rPr>
          <w:rFonts w:ascii="Arial" w:hAnsi="Arial" w:cs="Arial"/>
          <w:sz w:val="22"/>
          <w:szCs w:val="22"/>
        </w:rPr>
        <w:t xml:space="preserve">3) Na aplicação do conceito de </w:t>
      </w:r>
      <w:proofErr w:type="gramStart"/>
      <w:r w:rsidRPr="002E087B">
        <w:rPr>
          <w:rFonts w:ascii="Arial" w:hAnsi="Arial" w:cs="Arial"/>
          <w:sz w:val="22"/>
          <w:szCs w:val="22"/>
        </w:rPr>
        <w:t>prática concertada previsto</w:t>
      </w:r>
      <w:proofErr w:type="gramEnd"/>
      <w:r w:rsidRPr="002E087B">
        <w:rPr>
          <w:rFonts w:ascii="Arial" w:hAnsi="Arial" w:cs="Arial"/>
          <w:sz w:val="22"/>
          <w:szCs w:val="22"/>
        </w:rPr>
        <w:t xml:space="preserve"> no artigo 81.° […] CE, continua a aplicar</w:t>
      </w:r>
      <w:r w:rsidRPr="002E087B">
        <w:rPr>
          <w:rFonts w:ascii="Arial" w:hAnsi="Arial" w:cs="Arial"/>
          <w:sz w:val="22"/>
          <w:szCs w:val="22"/>
        </w:rPr>
        <w:noBreakHyphen/>
        <w:t xml:space="preserve">se ainda a presunção da existência do nexo de causalidade entre a concertação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mesmo quando a concertação apenas tenha ocorrido uma única vez e a empresa que nela </w:t>
      </w:r>
      <w:proofErr w:type="gramStart"/>
      <w:r w:rsidRPr="002E087B">
        <w:rPr>
          <w:rFonts w:ascii="Arial" w:hAnsi="Arial" w:cs="Arial"/>
          <w:sz w:val="22"/>
          <w:szCs w:val="22"/>
        </w:rPr>
        <w:t>participou</w:t>
      </w:r>
      <w:proofErr w:type="gramEnd"/>
      <w:r w:rsidRPr="002E087B">
        <w:rPr>
          <w:rFonts w:ascii="Arial" w:hAnsi="Arial" w:cs="Arial"/>
          <w:sz w:val="22"/>
          <w:szCs w:val="22"/>
        </w:rPr>
        <w:t xml:space="preserve"> continuar </w:t>
      </w:r>
      <w:proofErr w:type="spellStart"/>
      <w:r w:rsidRPr="002E087B">
        <w:rPr>
          <w:rFonts w:ascii="Arial" w:hAnsi="Arial" w:cs="Arial"/>
          <w:sz w:val="22"/>
          <w:szCs w:val="22"/>
        </w:rPr>
        <w:t>activa</w:t>
      </w:r>
      <w:proofErr w:type="spellEnd"/>
      <w:r w:rsidRPr="002E087B">
        <w:rPr>
          <w:rFonts w:ascii="Arial" w:hAnsi="Arial" w:cs="Arial"/>
          <w:sz w:val="22"/>
          <w:szCs w:val="22"/>
        </w:rPr>
        <w:t xml:space="preserve"> no mercado, ou apenas se aplica nos casos em que a concertação teve lugar regularmente durante um longo período?»</w:t>
      </w:r>
    </w:p>
    <w:p w:rsidR="00D80FE6" w:rsidRPr="002E087B" w:rsidRDefault="00D80FE6" w:rsidP="002E087B">
      <w:pPr>
        <w:pStyle w:val="c04titre1"/>
        <w:spacing w:line="276" w:lineRule="auto"/>
        <w:ind w:left="0"/>
        <w:rPr>
          <w:rFonts w:ascii="Arial" w:hAnsi="Arial" w:cs="Arial"/>
          <w:sz w:val="22"/>
          <w:szCs w:val="22"/>
        </w:rPr>
      </w:pPr>
      <w:r w:rsidRPr="002E087B">
        <w:rPr>
          <w:rFonts w:ascii="Arial" w:hAnsi="Arial" w:cs="Arial"/>
          <w:sz w:val="22"/>
          <w:szCs w:val="22"/>
        </w:rPr>
        <w:t>Quanto às questões prejudiciais</w:t>
      </w:r>
    </w:p>
    <w:p w:rsidR="00D80FE6" w:rsidRPr="002E087B" w:rsidRDefault="00D80FE6" w:rsidP="002E087B">
      <w:pPr>
        <w:pStyle w:val="c05titre2"/>
        <w:spacing w:line="276" w:lineRule="auto"/>
        <w:ind w:left="0"/>
        <w:rPr>
          <w:rFonts w:ascii="Arial" w:hAnsi="Arial" w:cs="Arial"/>
          <w:sz w:val="22"/>
          <w:szCs w:val="22"/>
        </w:rPr>
      </w:pPr>
      <w:r w:rsidRPr="002E087B">
        <w:rPr>
          <w:rFonts w:ascii="Arial" w:hAnsi="Arial" w:cs="Arial"/>
          <w:sz w:val="22"/>
          <w:szCs w:val="22"/>
        </w:rPr>
        <w:t>Quanto à primeira questão</w:t>
      </w:r>
    </w:p>
    <w:p w:rsidR="00D80FE6" w:rsidRPr="002E087B" w:rsidRDefault="00D80FE6" w:rsidP="002E087B">
      <w:pPr>
        <w:pStyle w:val="c01pointnumerotealtn"/>
        <w:spacing w:line="276" w:lineRule="auto"/>
        <w:ind w:left="0"/>
        <w:rPr>
          <w:rFonts w:ascii="Arial" w:hAnsi="Arial" w:cs="Arial"/>
          <w:sz w:val="22"/>
          <w:szCs w:val="22"/>
        </w:rPr>
      </w:pPr>
      <w:bookmarkStart w:id="23" w:name="point23"/>
      <w:r w:rsidRPr="002E087B">
        <w:rPr>
          <w:rFonts w:ascii="Arial" w:hAnsi="Arial" w:cs="Arial"/>
          <w:sz w:val="22"/>
          <w:szCs w:val="22"/>
        </w:rPr>
        <w:t>23</w:t>
      </w:r>
      <w:bookmarkEnd w:id="23"/>
      <w:r w:rsidRPr="002E087B">
        <w:rPr>
          <w:rFonts w:ascii="Arial" w:hAnsi="Arial" w:cs="Arial"/>
          <w:sz w:val="22"/>
          <w:szCs w:val="22"/>
        </w:rPr>
        <w:t xml:space="preserve"> A título preliminar, há que referir que os conceitos de «acordo», de «decisões de associações de empresas» e de «prática concertada» incluem, do ponto de vista </w:t>
      </w:r>
      <w:proofErr w:type="spellStart"/>
      <w:r w:rsidRPr="002E087B">
        <w:rPr>
          <w:rFonts w:ascii="Arial" w:hAnsi="Arial" w:cs="Arial"/>
          <w:sz w:val="22"/>
          <w:szCs w:val="22"/>
        </w:rPr>
        <w:t>subjectivo</w:t>
      </w:r>
      <w:proofErr w:type="spellEnd"/>
      <w:r w:rsidRPr="002E087B">
        <w:rPr>
          <w:rFonts w:ascii="Arial" w:hAnsi="Arial" w:cs="Arial"/>
          <w:sz w:val="22"/>
          <w:szCs w:val="22"/>
        </w:rPr>
        <w:t xml:space="preserve">, formas de conluio que são da mesma natureza e só se distinguem umas das outras pela </w:t>
      </w:r>
      <w:proofErr w:type="spellStart"/>
      <w:r w:rsidRPr="002E087B">
        <w:rPr>
          <w:rFonts w:ascii="Arial" w:hAnsi="Arial" w:cs="Arial"/>
          <w:sz w:val="22"/>
          <w:szCs w:val="22"/>
        </w:rPr>
        <w:t>respectiva</w:t>
      </w:r>
      <w:proofErr w:type="spellEnd"/>
      <w:r w:rsidRPr="002E087B">
        <w:rPr>
          <w:rFonts w:ascii="Arial" w:hAnsi="Arial" w:cs="Arial"/>
          <w:sz w:val="22"/>
          <w:szCs w:val="22"/>
        </w:rPr>
        <w:t xml:space="preserve"> intensidade e pelas formas como se manifestam (v., neste sentido, acórdão Comissão/</w:t>
      </w:r>
      <w:proofErr w:type="spellStart"/>
      <w:r w:rsidRPr="002E087B">
        <w:rPr>
          <w:rFonts w:ascii="Arial" w:hAnsi="Arial" w:cs="Arial"/>
          <w:sz w:val="22"/>
          <w:szCs w:val="22"/>
        </w:rPr>
        <w:t>Anic</w:t>
      </w:r>
      <w:proofErr w:type="spellEnd"/>
      <w:r w:rsidRPr="002E087B">
        <w:rPr>
          <w:rFonts w:ascii="Arial" w:hAnsi="Arial" w:cs="Arial"/>
          <w:sz w:val="22"/>
          <w:szCs w:val="22"/>
        </w:rPr>
        <w:t xml:space="preserve"> </w:t>
      </w:r>
      <w:proofErr w:type="spellStart"/>
      <w:r w:rsidRPr="002E087B">
        <w:rPr>
          <w:rFonts w:ascii="Arial" w:hAnsi="Arial" w:cs="Arial"/>
          <w:sz w:val="22"/>
          <w:szCs w:val="22"/>
        </w:rPr>
        <w:t>Partecipazioni</w:t>
      </w:r>
      <w:proofErr w:type="spellEnd"/>
      <w:r w:rsidRPr="002E087B">
        <w:rPr>
          <w:rFonts w:ascii="Arial" w:hAnsi="Arial" w:cs="Arial"/>
          <w:sz w:val="22"/>
          <w:szCs w:val="22"/>
        </w:rPr>
        <w:t xml:space="preserve">, já referido, </w:t>
      </w:r>
      <w:proofErr w:type="spellStart"/>
      <w:r w:rsidRPr="002E087B">
        <w:rPr>
          <w:rFonts w:ascii="Arial" w:hAnsi="Arial" w:cs="Arial"/>
          <w:sz w:val="22"/>
          <w:szCs w:val="22"/>
        </w:rPr>
        <w:t>n.°</w:t>
      </w:r>
      <w:proofErr w:type="spellEnd"/>
      <w:r w:rsidRPr="002E087B">
        <w:rPr>
          <w:rFonts w:ascii="Arial" w:hAnsi="Arial" w:cs="Arial"/>
          <w:sz w:val="22"/>
          <w:szCs w:val="22"/>
        </w:rPr>
        <w:t xml:space="preserve"> 131).</w:t>
      </w:r>
    </w:p>
    <w:p w:rsidR="00D80FE6" w:rsidRPr="002E087B" w:rsidRDefault="00D80FE6" w:rsidP="002E087B">
      <w:pPr>
        <w:pStyle w:val="c01pointnumerotealtn"/>
        <w:spacing w:line="276" w:lineRule="auto"/>
        <w:ind w:left="0"/>
        <w:rPr>
          <w:rFonts w:ascii="Arial" w:hAnsi="Arial" w:cs="Arial"/>
          <w:sz w:val="22"/>
          <w:szCs w:val="22"/>
        </w:rPr>
      </w:pPr>
      <w:bookmarkStart w:id="24" w:name="point24"/>
      <w:r w:rsidRPr="002E087B">
        <w:rPr>
          <w:rFonts w:ascii="Arial" w:hAnsi="Arial" w:cs="Arial"/>
          <w:sz w:val="22"/>
          <w:szCs w:val="22"/>
        </w:rPr>
        <w:t>24</w:t>
      </w:r>
      <w:bookmarkEnd w:id="24"/>
      <w:r w:rsidRPr="002E087B">
        <w:rPr>
          <w:rFonts w:ascii="Arial" w:hAnsi="Arial" w:cs="Arial"/>
          <w:sz w:val="22"/>
          <w:szCs w:val="22"/>
        </w:rPr>
        <w:t xml:space="preserve"> Assim, como referiu, no essencial, a advogada</w:t>
      </w:r>
      <w:r w:rsidRPr="002E087B">
        <w:rPr>
          <w:rFonts w:ascii="Arial" w:hAnsi="Arial" w:cs="Arial"/>
          <w:sz w:val="22"/>
          <w:szCs w:val="22"/>
        </w:rPr>
        <w:noBreakHyphen/>
        <w:t xml:space="preserve">geral no </w:t>
      </w:r>
      <w:proofErr w:type="spellStart"/>
      <w:r w:rsidRPr="002E087B">
        <w:rPr>
          <w:rFonts w:ascii="Arial" w:hAnsi="Arial" w:cs="Arial"/>
          <w:sz w:val="22"/>
          <w:szCs w:val="22"/>
        </w:rPr>
        <w:t>n.°</w:t>
      </w:r>
      <w:proofErr w:type="spellEnd"/>
      <w:r w:rsidRPr="002E087B">
        <w:rPr>
          <w:rFonts w:ascii="Arial" w:hAnsi="Arial" w:cs="Arial"/>
          <w:sz w:val="22"/>
          <w:szCs w:val="22"/>
        </w:rPr>
        <w:t xml:space="preserve"> 38 </w:t>
      </w:r>
      <w:proofErr w:type="gramStart"/>
      <w:r w:rsidRPr="002E087B">
        <w:rPr>
          <w:rFonts w:ascii="Arial" w:hAnsi="Arial" w:cs="Arial"/>
          <w:sz w:val="22"/>
          <w:szCs w:val="22"/>
        </w:rPr>
        <w:t>das</w:t>
      </w:r>
      <w:proofErr w:type="gramEnd"/>
      <w:r w:rsidRPr="002E087B">
        <w:rPr>
          <w:rFonts w:ascii="Arial" w:hAnsi="Arial" w:cs="Arial"/>
          <w:sz w:val="22"/>
          <w:szCs w:val="22"/>
        </w:rPr>
        <w:t xml:space="preserve"> suas conclusões, os critérios consagrados pela jurisprudência do Tribunal de Justiça para apreciar se um comportamento tem por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ou por efeito impedir, restringir ou falsear a concorrência são aplicáveis quer se trate de um acordo, de uma decisão ou de uma prática concertada.</w:t>
      </w:r>
    </w:p>
    <w:p w:rsidR="00D80FE6" w:rsidRPr="002E087B" w:rsidRDefault="00D80FE6" w:rsidP="002E087B">
      <w:pPr>
        <w:pStyle w:val="c01pointnumerotealtn"/>
        <w:spacing w:line="276" w:lineRule="auto"/>
        <w:ind w:left="0"/>
        <w:rPr>
          <w:rFonts w:ascii="Arial" w:hAnsi="Arial" w:cs="Arial"/>
          <w:sz w:val="22"/>
          <w:szCs w:val="22"/>
        </w:rPr>
      </w:pPr>
      <w:bookmarkStart w:id="25" w:name="point25"/>
      <w:r w:rsidRPr="002E087B">
        <w:rPr>
          <w:rFonts w:ascii="Arial" w:hAnsi="Arial" w:cs="Arial"/>
          <w:sz w:val="22"/>
          <w:szCs w:val="22"/>
        </w:rPr>
        <w:t>25</w:t>
      </w:r>
      <w:bookmarkEnd w:id="25"/>
      <w:r w:rsidRPr="002E087B">
        <w:rPr>
          <w:rFonts w:ascii="Arial" w:hAnsi="Arial" w:cs="Arial"/>
          <w:sz w:val="22"/>
          <w:szCs w:val="22"/>
        </w:rPr>
        <w:t xml:space="preserve"> A este respeito, há que referir que o Tribunal de Justiça já forneceu um determinado número de critérios que permitem verificar se um acordo, uma decisão ou uma prática concertada têm carácter </w:t>
      </w:r>
      <w:proofErr w:type="spellStart"/>
      <w:r w:rsidRPr="002E087B">
        <w:rPr>
          <w:rFonts w:ascii="Arial" w:hAnsi="Arial" w:cs="Arial"/>
          <w:sz w:val="22"/>
          <w:szCs w:val="22"/>
        </w:rPr>
        <w:t>anticoncorrencial</w:t>
      </w:r>
      <w:proofErr w:type="spellEnd"/>
      <w:r w:rsidRPr="002E087B">
        <w:rPr>
          <w:rFonts w:ascii="Arial" w:hAnsi="Arial" w:cs="Arial"/>
          <w:sz w:val="22"/>
          <w:szCs w:val="22"/>
        </w:rPr>
        <w:t>.</w:t>
      </w:r>
    </w:p>
    <w:p w:rsidR="00D80FE6" w:rsidRPr="002E087B" w:rsidRDefault="00D80FE6" w:rsidP="002E087B">
      <w:pPr>
        <w:pStyle w:val="c01pointnumerotealtn"/>
        <w:spacing w:line="276" w:lineRule="auto"/>
        <w:ind w:left="0"/>
        <w:rPr>
          <w:rFonts w:ascii="Arial" w:hAnsi="Arial" w:cs="Arial"/>
          <w:sz w:val="22"/>
          <w:szCs w:val="22"/>
        </w:rPr>
      </w:pPr>
      <w:bookmarkStart w:id="26" w:name="point26"/>
      <w:r w:rsidRPr="002E087B">
        <w:rPr>
          <w:rFonts w:ascii="Arial" w:hAnsi="Arial" w:cs="Arial"/>
          <w:sz w:val="22"/>
          <w:szCs w:val="22"/>
        </w:rPr>
        <w:t>26</w:t>
      </w:r>
      <w:bookmarkEnd w:id="26"/>
      <w:r w:rsidRPr="002E087B">
        <w:rPr>
          <w:rFonts w:ascii="Arial" w:hAnsi="Arial" w:cs="Arial"/>
          <w:sz w:val="22"/>
          <w:szCs w:val="22"/>
        </w:rPr>
        <w:t xml:space="preserve"> Quanto à definição de prática concertada, o Tribunal de Justiça declarou que consiste numa forma de coordenação entre empresas que, sem se ter desenvolvido até à celebração de uma convenção propriamente dita, substitui cientemente os riscos da concorrência por uma cooperação prática entre elas (v. acórdãos de 16 de Dezembro de 1975, </w:t>
      </w:r>
      <w:proofErr w:type="spellStart"/>
      <w:r w:rsidRPr="002E087B">
        <w:rPr>
          <w:rFonts w:ascii="Arial" w:hAnsi="Arial" w:cs="Arial"/>
          <w:sz w:val="22"/>
          <w:szCs w:val="22"/>
        </w:rPr>
        <w:t>Suiker</w:t>
      </w:r>
      <w:proofErr w:type="spellEnd"/>
      <w:r w:rsidRPr="002E087B">
        <w:rPr>
          <w:rFonts w:ascii="Arial" w:hAnsi="Arial" w:cs="Arial"/>
          <w:sz w:val="22"/>
          <w:szCs w:val="22"/>
        </w:rPr>
        <w:t xml:space="preserve"> </w:t>
      </w:r>
      <w:proofErr w:type="spellStart"/>
      <w:r w:rsidRPr="002E087B">
        <w:rPr>
          <w:rFonts w:ascii="Arial" w:hAnsi="Arial" w:cs="Arial"/>
          <w:sz w:val="22"/>
          <w:szCs w:val="22"/>
        </w:rPr>
        <w:t>Unie</w:t>
      </w:r>
      <w:proofErr w:type="spellEnd"/>
      <w:r w:rsidRPr="002E087B">
        <w:rPr>
          <w:rFonts w:ascii="Arial" w:hAnsi="Arial" w:cs="Arial"/>
          <w:sz w:val="22"/>
          <w:szCs w:val="22"/>
        </w:rPr>
        <w:t xml:space="preserve"> e o./Comissão, 40/73 a 48/73, 50/73, 54/73 a 56/73, 111/73, </w:t>
      </w:r>
      <w:r w:rsidRPr="002E087B">
        <w:rPr>
          <w:rFonts w:ascii="Arial" w:hAnsi="Arial" w:cs="Arial"/>
          <w:sz w:val="22"/>
          <w:szCs w:val="22"/>
        </w:rPr>
        <w:lastRenderedPageBreak/>
        <w:t xml:space="preserve">113/73 e 114/73, </w:t>
      </w:r>
      <w:proofErr w:type="spellStart"/>
      <w:r w:rsidRPr="002E087B">
        <w:rPr>
          <w:rFonts w:ascii="Arial" w:hAnsi="Arial" w:cs="Arial"/>
          <w:sz w:val="22"/>
          <w:szCs w:val="22"/>
        </w:rPr>
        <w:t>Colect</w:t>
      </w:r>
      <w:proofErr w:type="spellEnd"/>
      <w:r w:rsidRPr="002E087B">
        <w:rPr>
          <w:rFonts w:ascii="Arial" w:hAnsi="Arial" w:cs="Arial"/>
          <w:sz w:val="22"/>
          <w:szCs w:val="22"/>
        </w:rPr>
        <w:t xml:space="preserve">., p. 563, </w:t>
      </w:r>
      <w:proofErr w:type="spellStart"/>
      <w:r w:rsidRPr="002E087B">
        <w:rPr>
          <w:rFonts w:ascii="Arial" w:hAnsi="Arial" w:cs="Arial"/>
          <w:sz w:val="22"/>
          <w:szCs w:val="22"/>
        </w:rPr>
        <w:t>n.°</w:t>
      </w:r>
      <w:proofErr w:type="spellEnd"/>
      <w:r w:rsidRPr="002E087B">
        <w:rPr>
          <w:rFonts w:ascii="Arial" w:hAnsi="Arial" w:cs="Arial"/>
          <w:sz w:val="22"/>
          <w:szCs w:val="22"/>
        </w:rPr>
        <w:t xml:space="preserve"> 26, e de 31 de Março de 1993, </w:t>
      </w:r>
      <w:proofErr w:type="spellStart"/>
      <w:r w:rsidRPr="002E087B">
        <w:rPr>
          <w:rFonts w:ascii="Arial" w:hAnsi="Arial" w:cs="Arial"/>
          <w:sz w:val="22"/>
          <w:szCs w:val="22"/>
        </w:rPr>
        <w:t>Ahlström</w:t>
      </w:r>
      <w:proofErr w:type="spellEnd"/>
      <w:r w:rsidRPr="002E087B">
        <w:rPr>
          <w:rFonts w:ascii="Arial" w:hAnsi="Arial" w:cs="Arial"/>
          <w:sz w:val="22"/>
          <w:szCs w:val="22"/>
        </w:rPr>
        <w:t xml:space="preserve"> </w:t>
      </w:r>
      <w:proofErr w:type="spellStart"/>
      <w:r w:rsidRPr="002E087B">
        <w:rPr>
          <w:rFonts w:ascii="Arial" w:hAnsi="Arial" w:cs="Arial"/>
          <w:sz w:val="22"/>
          <w:szCs w:val="22"/>
        </w:rPr>
        <w:t>Osakeyhtiö</w:t>
      </w:r>
      <w:proofErr w:type="spellEnd"/>
      <w:r w:rsidRPr="002E087B">
        <w:rPr>
          <w:rFonts w:ascii="Arial" w:hAnsi="Arial" w:cs="Arial"/>
          <w:sz w:val="22"/>
          <w:szCs w:val="22"/>
        </w:rPr>
        <w:t xml:space="preserve"> e o./Comissão, C</w:t>
      </w:r>
      <w:r w:rsidRPr="002E087B">
        <w:rPr>
          <w:rFonts w:ascii="Arial" w:hAnsi="Arial" w:cs="Arial"/>
          <w:sz w:val="22"/>
          <w:szCs w:val="22"/>
        </w:rPr>
        <w:noBreakHyphen/>
        <w:t>89/85, C</w:t>
      </w:r>
      <w:r w:rsidRPr="002E087B">
        <w:rPr>
          <w:rFonts w:ascii="Arial" w:hAnsi="Arial" w:cs="Arial"/>
          <w:sz w:val="22"/>
          <w:szCs w:val="22"/>
        </w:rPr>
        <w:noBreakHyphen/>
        <w:t>104/85, C</w:t>
      </w:r>
      <w:r w:rsidRPr="002E087B">
        <w:rPr>
          <w:rFonts w:ascii="Arial" w:hAnsi="Arial" w:cs="Arial"/>
          <w:sz w:val="22"/>
          <w:szCs w:val="22"/>
        </w:rPr>
        <w:noBreakHyphen/>
        <w:t>114/85, C</w:t>
      </w:r>
      <w:r w:rsidRPr="002E087B">
        <w:rPr>
          <w:rFonts w:ascii="Arial" w:hAnsi="Arial" w:cs="Arial"/>
          <w:sz w:val="22"/>
          <w:szCs w:val="22"/>
        </w:rPr>
        <w:noBreakHyphen/>
        <w:t>116/85, C</w:t>
      </w:r>
      <w:r w:rsidRPr="002E087B">
        <w:rPr>
          <w:rFonts w:ascii="Arial" w:hAnsi="Arial" w:cs="Arial"/>
          <w:sz w:val="22"/>
          <w:szCs w:val="22"/>
        </w:rPr>
        <w:noBreakHyphen/>
        <w:t>117/85 e C</w:t>
      </w:r>
      <w:r w:rsidRPr="002E087B">
        <w:rPr>
          <w:rFonts w:ascii="Arial" w:hAnsi="Arial" w:cs="Arial"/>
          <w:sz w:val="22"/>
          <w:szCs w:val="22"/>
        </w:rPr>
        <w:noBreakHyphen/>
        <w:t>125/85 a C</w:t>
      </w:r>
      <w:r w:rsidRPr="002E087B">
        <w:rPr>
          <w:rFonts w:ascii="Arial" w:hAnsi="Arial" w:cs="Arial"/>
          <w:sz w:val="22"/>
          <w:szCs w:val="22"/>
        </w:rPr>
        <w:noBreakHyphen/>
        <w:t xml:space="preserve">129/85, </w:t>
      </w:r>
      <w:proofErr w:type="spellStart"/>
      <w:r w:rsidRPr="002E087B">
        <w:rPr>
          <w:rFonts w:ascii="Arial" w:hAnsi="Arial" w:cs="Arial"/>
          <w:sz w:val="22"/>
          <w:szCs w:val="22"/>
        </w:rPr>
        <w:t>Colect</w:t>
      </w:r>
      <w:proofErr w:type="spellEnd"/>
      <w:r w:rsidRPr="002E087B">
        <w:rPr>
          <w:rFonts w:ascii="Arial" w:hAnsi="Arial" w:cs="Arial"/>
          <w:sz w:val="22"/>
          <w:szCs w:val="22"/>
        </w:rPr>
        <w:t>., p. I</w:t>
      </w:r>
      <w:r w:rsidRPr="002E087B">
        <w:rPr>
          <w:rFonts w:ascii="Arial" w:hAnsi="Arial" w:cs="Arial"/>
          <w:sz w:val="22"/>
          <w:szCs w:val="22"/>
        </w:rPr>
        <w:noBreakHyphen/>
        <w:t xml:space="preserve">1307, </w:t>
      </w:r>
      <w:proofErr w:type="spellStart"/>
      <w:r w:rsidRPr="002E087B">
        <w:rPr>
          <w:rFonts w:ascii="Arial" w:hAnsi="Arial" w:cs="Arial"/>
          <w:sz w:val="22"/>
          <w:szCs w:val="22"/>
        </w:rPr>
        <w:t>n.°</w:t>
      </w:r>
      <w:proofErr w:type="spellEnd"/>
      <w:r w:rsidRPr="002E087B">
        <w:rPr>
          <w:rFonts w:ascii="Arial" w:hAnsi="Arial" w:cs="Arial"/>
          <w:sz w:val="22"/>
          <w:szCs w:val="22"/>
        </w:rPr>
        <w:t xml:space="preserve"> 63).</w:t>
      </w:r>
    </w:p>
    <w:p w:rsidR="00D80FE6" w:rsidRPr="002E087B" w:rsidRDefault="00D80FE6" w:rsidP="002E087B">
      <w:pPr>
        <w:pStyle w:val="c01pointnumerotealtn"/>
        <w:spacing w:line="276" w:lineRule="auto"/>
        <w:ind w:left="0"/>
        <w:rPr>
          <w:rFonts w:ascii="Arial" w:hAnsi="Arial" w:cs="Arial"/>
          <w:sz w:val="22"/>
          <w:szCs w:val="22"/>
        </w:rPr>
      </w:pPr>
      <w:bookmarkStart w:id="27" w:name="point27"/>
      <w:r w:rsidRPr="002E087B">
        <w:rPr>
          <w:rFonts w:ascii="Arial" w:hAnsi="Arial" w:cs="Arial"/>
          <w:sz w:val="22"/>
          <w:szCs w:val="22"/>
        </w:rPr>
        <w:t>27</w:t>
      </w:r>
      <w:bookmarkEnd w:id="27"/>
      <w:r w:rsidRPr="002E087B">
        <w:rPr>
          <w:rFonts w:ascii="Arial" w:hAnsi="Arial" w:cs="Arial"/>
          <w:sz w:val="22"/>
          <w:szCs w:val="22"/>
        </w:rPr>
        <w:t xml:space="preserve"> No que diz respeito à apreciação do carácter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de uma prática concertada, há que levar em conta, nomeadamente, as finalidades </w:t>
      </w:r>
      <w:proofErr w:type="spellStart"/>
      <w:r w:rsidRPr="002E087B">
        <w:rPr>
          <w:rFonts w:ascii="Arial" w:hAnsi="Arial" w:cs="Arial"/>
          <w:sz w:val="22"/>
          <w:szCs w:val="22"/>
        </w:rPr>
        <w:t>objectivas</w:t>
      </w:r>
      <w:proofErr w:type="spellEnd"/>
      <w:r w:rsidRPr="002E087B">
        <w:rPr>
          <w:rFonts w:ascii="Arial" w:hAnsi="Arial" w:cs="Arial"/>
          <w:sz w:val="22"/>
          <w:szCs w:val="22"/>
        </w:rPr>
        <w:t xml:space="preserve"> que pretende atingir e o contexto económico e jurídico em que se insere (v., neste sentido, acórdãos de 8 de Novembro de 1983, IAZ </w:t>
      </w:r>
      <w:proofErr w:type="spellStart"/>
      <w:r w:rsidRPr="002E087B">
        <w:rPr>
          <w:rFonts w:ascii="Arial" w:hAnsi="Arial" w:cs="Arial"/>
          <w:sz w:val="22"/>
          <w:szCs w:val="22"/>
        </w:rPr>
        <w:t>International</w:t>
      </w:r>
      <w:proofErr w:type="spellEnd"/>
      <w:r w:rsidRPr="002E087B">
        <w:rPr>
          <w:rFonts w:ascii="Arial" w:hAnsi="Arial" w:cs="Arial"/>
          <w:sz w:val="22"/>
          <w:szCs w:val="22"/>
        </w:rPr>
        <w:t xml:space="preserve"> </w:t>
      </w:r>
      <w:proofErr w:type="spellStart"/>
      <w:r w:rsidRPr="002E087B">
        <w:rPr>
          <w:rFonts w:ascii="Arial" w:hAnsi="Arial" w:cs="Arial"/>
          <w:sz w:val="22"/>
          <w:szCs w:val="22"/>
        </w:rPr>
        <w:t>Belgium</w:t>
      </w:r>
      <w:proofErr w:type="spellEnd"/>
      <w:r w:rsidRPr="002E087B">
        <w:rPr>
          <w:rFonts w:ascii="Arial" w:hAnsi="Arial" w:cs="Arial"/>
          <w:sz w:val="22"/>
          <w:szCs w:val="22"/>
        </w:rPr>
        <w:t xml:space="preserve"> e o./Comissão, 96/82 a 102/82, 104/82, 105/82, 108/82 e 110/82, </w:t>
      </w:r>
      <w:proofErr w:type="spellStart"/>
      <w:r w:rsidRPr="002E087B">
        <w:rPr>
          <w:rFonts w:ascii="Arial" w:hAnsi="Arial" w:cs="Arial"/>
          <w:sz w:val="22"/>
          <w:szCs w:val="22"/>
        </w:rPr>
        <w:t>Recueil</w:t>
      </w:r>
      <w:proofErr w:type="spellEnd"/>
      <w:r w:rsidRPr="002E087B">
        <w:rPr>
          <w:rFonts w:ascii="Arial" w:hAnsi="Arial" w:cs="Arial"/>
          <w:sz w:val="22"/>
          <w:szCs w:val="22"/>
        </w:rPr>
        <w:t xml:space="preserve">, p. 3369, </w:t>
      </w:r>
      <w:proofErr w:type="spellStart"/>
      <w:r w:rsidRPr="002E087B">
        <w:rPr>
          <w:rFonts w:ascii="Arial" w:hAnsi="Arial" w:cs="Arial"/>
          <w:sz w:val="22"/>
          <w:szCs w:val="22"/>
        </w:rPr>
        <w:t>n.°</w:t>
      </w:r>
      <w:proofErr w:type="spellEnd"/>
      <w:r w:rsidRPr="002E087B">
        <w:rPr>
          <w:rFonts w:ascii="Arial" w:hAnsi="Arial" w:cs="Arial"/>
          <w:sz w:val="22"/>
          <w:szCs w:val="22"/>
        </w:rPr>
        <w:t xml:space="preserve"> 25, e de 20 de Novembro de 2008, </w:t>
      </w:r>
      <w:proofErr w:type="spellStart"/>
      <w:r w:rsidRPr="002E087B">
        <w:rPr>
          <w:rFonts w:ascii="Arial" w:hAnsi="Arial" w:cs="Arial"/>
          <w:sz w:val="22"/>
          <w:szCs w:val="22"/>
        </w:rPr>
        <w:t>Beef</w:t>
      </w:r>
      <w:proofErr w:type="spellEnd"/>
      <w:r w:rsidRPr="002E087B">
        <w:rPr>
          <w:rFonts w:ascii="Arial" w:hAnsi="Arial" w:cs="Arial"/>
          <w:sz w:val="22"/>
          <w:szCs w:val="22"/>
        </w:rPr>
        <w:t xml:space="preserve"> </w:t>
      </w:r>
      <w:proofErr w:type="spellStart"/>
      <w:r w:rsidRPr="002E087B">
        <w:rPr>
          <w:rFonts w:ascii="Arial" w:hAnsi="Arial" w:cs="Arial"/>
          <w:sz w:val="22"/>
          <w:szCs w:val="22"/>
        </w:rPr>
        <w:t>Industry</w:t>
      </w:r>
      <w:proofErr w:type="spellEnd"/>
      <w:r w:rsidRPr="002E087B">
        <w:rPr>
          <w:rFonts w:ascii="Arial" w:hAnsi="Arial" w:cs="Arial"/>
          <w:sz w:val="22"/>
          <w:szCs w:val="22"/>
        </w:rPr>
        <w:t xml:space="preserve"> </w:t>
      </w:r>
      <w:proofErr w:type="spellStart"/>
      <w:r w:rsidRPr="002E087B">
        <w:rPr>
          <w:rFonts w:ascii="Arial" w:hAnsi="Arial" w:cs="Arial"/>
          <w:sz w:val="22"/>
          <w:szCs w:val="22"/>
        </w:rPr>
        <w:t>Development</w:t>
      </w:r>
      <w:proofErr w:type="spellEnd"/>
      <w:r w:rsidRPr="002E087B">
        <w:rPr>
          <w:rFonts w:ascii="Arial" w:hAnsi="Arial" w:cs="Arial"/>
          <w:sz w:val="22"/>
          <w:szCs w:val="22"/>
        </w:rPr>
        <w:t xml:space="preserve"> </w:t>
      </w:r>
      <w:proofErr w:type="spellStart"/>
      <w:r w:rsidRPr="002E087B">
        <w:rPr>
          <w:rFonts w:ascii="Arial" w:hAnsi="Arial" w:cs="Arial"/>
          <w:sz w:val="22"/>
          <w:szCs w:val="22"/>
        </w:rPr>
        <w:t>Society</w:t>
      </w:r>
      <w:proofErr w:type="spellEnd"/>
      <w:r w:rsidRPr="002E087B">
        <w:rPr>
          <w:rFonts w:ascii="Arial" w:hAnsi="Arial" w:cs="Arial"/>
          <w:sz w:val="22"/>
          <w:szCs w:val="22"/>
        </w:rPr>
        <w:t xml:space="preserve"> e </w:t>
      </w:r>
      <w:proofErr w:type="spellStart"/>
      <w:r w:rsidRPr="002E087B">
        <w:rPr>
          <w:rFonts w:ascii="Arial" w:hAnsi="Arial" w:cs="Arial"/>
          <w:sz w:val="22"/>
          <w:szCs w:val="22"/>
        </w:rPr>
        <w:t>Barry</w:t>
      </w:r>
      <w:proofErr w:type="spellEnd"/>
      <w:r w:rsidRPr="002E087B">
        <w:rPr>
          <w:rFonts w:ascii="Arial" w:hAnsi="Arial" w:cs="Arial"/>
          <w:sz w:val="22"/>
          <w:szCs w:val="22"/>
        </w:rPr>
        <w:t xml:space="preserve"> </w:t>
      </w:r>
      <w:proofErr w:type="spellStart"/>
      <w:r w:rsidRPr="002E087B">
        <w:rPr>
          <w:rFonts w:ascii="Arial" w:hAnsi="Arial" w:cs="Arial"/>
          <w:sz w:val="22"/>
          <w:szCs w:val="22"/>
        </w:rPr>
        <w:t>Brothers</w:t>
      </w:r>
      <w:proofErr w:type="spellEnd"/>
      <w:r w:rsidRPr="002E087B">
        <w:rPr>
          <w:rFonts w:ascii="Arial" w:hAnsi="Arial" w:cs="Arial"/>
          <w:sz w:val="22"/>
          <w:szCs w:val="22"/>
        </w:rPr>
        <w:t>, C</w:t>
      </w:r>
      <w:r w:rsidRPr="002E087B">
        <w:rPr>
          <w:rFonts w:ascii="Arial" w:hAnsi="Arial" w:cs="Arial"/>
          <w:sz w:val="22"/>
          <w:szCs w:val="22"/>
        </w:rPr>
        <w:noBreakHyphen/>
        <w:t xml:space="preserve">209/07, ainda não publicado na </w:t>
      </w:r>
      <w:proofErr w:type="spellStart"/>
      <w:r w:rsidRPr="002E087B">
        <w:rPr>
          <w:rFonts w:ascii="Arial" w:hAnsi="Arial" w:cs="Arial"/>
          <w:sz w:val="22"/>
          <w:szCs w:val="22"/>
        </w:rPr>
        <w:t>Colectânea</w:t>
      </w:r>
      <w:proofErr w:type="spellEnd"/>
      <w:r w:rsidRPr="002E087B">
        <w:rPr>
          <w:rFonts w:ascii="Arial" w:hAnsi="Arial" w:cs="Arial"/>
          <w:sz w:val="22"/>
          <w:szCs w:val="22"/>
        </w:rPr>
        <w:t xml:space="preserve">, </w:t>
      </w:r>
      <w:proofErr w:type="spellStart"/>
      <w:r w:rsidRPr="002E087B">
        <w:rPr>
          <w:rFonts w:ascii="Arial" w:hAnsi="Arial" w:cs="Arial"/>
          <w:sz w:val="22"/>
          <w:szCs w:val="22"/>
        </w:rPr>
        <w:t>n.</w:t>
      </w:r>
      <w:r w:rsidRPr="002E087B">
        <w:rPr>
          <w:rFonts w:ascii="Arial" w:hAnsi="Arial" w:cs="Arial"/>
          <w:sz w:val="22"/>
          <w:szCs w:val="22"/>
          <w:vertAlign w:val="superscript"/>
        </w:rPr>
        <w:t>os</w:t>
      </w:r>
      <w:proofErr w:type="spellEnd"/>
      <w:r w:rsidRPr="002E087B">
        <w:rPr>
          <w:rFonts w:ascii="Arial" w:hAnsi="Arial" w:cs="Arial"/>
          <w:sz w:val="22"/>
          <w:szCs w:val="22"/>
        </w:rPr>
        <w:t xml:space="preserve"> 16 e 21). Além disso, embora a intenção das partes não seja um elemento necessário para determinar o carácter restritivo de uma prática concertada, nada impede que a Comissão das Comunidades Europeias ou os tribunais comunitários a levem em conta (v., neste sentido, acórdão IAZ </w:t>
      </w:r>
      <w:proofErr w:type="spellStart"/>
      <w:r w:rsidRPr="002E087B">
        <w:rPr>
          <w:rFonts w:ascii="Arial" w:hAnsi="Arial" w:cs="Arial"/>
          <w:sz w:val="22"/>
          <w:szCs w:val="22"/>
        </w:rPr>
        <w:t>International</w:t>
      </w:r>
      <w:proofErr w:type="spellEnd"/>
      <w:r w:rsidRPr="002E087B">
        <w:rPr>
          <w:rFonts w:ascii="Arial" w:hAnsi="Arial" w:cs="Arial"/>
          <w:sz w:val="22"/>
          <w:szCs w:val="22"/>
        </w:rPr>
        <w:t xml:space="preserve"> </w:t>
      </w:r>
      <w:proofErr w:type="spellStart"/>
      <w:r w:rsidRPr="002E087B">
        <w:rPr>
          <w:rFonts w:ascii="Arial" w:hAnsi="Arial" w:cs="Arial"/>
          <w:sz w:val="22"/>
          <w:szCs w:val="22"/>
        </w:rPr>
        <w:t>Belgium</w:t>
      </w:r>
      <w:proofErr w:type="spellEnd"/>
      <w:r w:rsidRPr="002E087B">
        <w:rPr>
          <w:rFonts w:ascii="Arial" w:hAnsi="Arial" w:cs="Arial"/>
          <w:sz w:val="22"/>
          <w:szCs w:val="22"/>
        </w:rPr>
        <w:t xml:space="preserve"> e o./Comissão, já referido, </w:t>
      </w:r>
      <w:proofErr w:type="spellStart"/>
      <w:r w:rsidRPr="002E087B">
        <w:rPr>
          <w:rFonts w:ascii="Arial" w:hAnsi="Arial" w:cs="Arial"/>
          <w:sz w:val="22"/>
          <w:szCs w:val="22"/>
        </w:rPr>
        <w:t>n.</w:t>
      </w:r>
      <w:r w:rsidRPr="002E087B">
        <w:rPr>
          <w:rFonts w:ascii="Arial" w:hAnsi="Arial" w:cs="Arial"/>
          <w:sz w:val="22"/>
          <w:szCs w:val="22"/>
          <w:vertAlign w:val="superscript"/>
        </w:rPr>
        <w:t>os</w:t>
      </w:r>
      <w:proofErr w:type="spellEnd"/>
      <w:r w:rsidRPr="002E087B">
        <w:rPr>
          <w:rFonts w:ascii="Arial" w:hAnsi="Arial" w:cs="Arial"/>
          <w:sz w:val="22"/>
          <w:szCs w:val="22"/>
        </w:rPr>
        <w:t xml:space="preserve"> 23 a 25).</w:t>
      </w:r>
    </w:p>
    <w:p w:rsidR="00D80FE6" w:rsidRPr="002E087B" w:rsidRDefault="00D80FE6" w:rsidP="002E087B">
      <w:pPr>
        <w:pStyle w:val="c01pointnumerotealtn"/>
        <w:spacing w:line="276" w:lineRule="auto"/>
        <w:ind w:left="0"/>
        <w:rPr>
          <w:rFonts w:ascii="Arial" w:hAnsi="Arial" w:cs="Arial"/>
          <w:sz w:val="22"/>
          <w:szCs w:val="22"/>
        </w:rPr>
      </w:pPr>
      <w:bookmarkStart w:id="28" w:name="point28"/>
      <w:r w:rsidRPr="002E087B">
        <w:rPr>
          <w:rFonts w:ascii="Arial" w:hAnsi="Arial" w:cs="Arial"/>
          <w:sz w:val="22"/>
          <w:szCs w:val="22"/>
        </w:rPr>
        <w:t>28</w:t>
      </w:r>
      <w:bookmarkEnd w:id="28"/>
      <w:r w:rsidRPr="002E087B">
        <w:rPr>
          <w:rFonts w:ascii="Arial" w:hAnsi="Arial" w:cs="Arial"/>
          <w:sz w:val="22"/>
          <w:szCs w:val="22"/>
        </w:rPr>
        <w:t xml:space="preserve"> Relativamente à delimitação entre as práticas concertadas que têm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e as que têm um efeito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há que recordar que o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e o efeito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não são requisitos cumulativos, mas alternativos, para verificar se uma prática é abrangida pela proibição enunciada no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Segundo jurisprudência constante desde o acórdão de 30 de Junho de 1966, LTM (56/65, </w:t>
      </w:r>
      <w:proofErr w:type="spellStart"/>
      <w:r w:rsidRPr="002E087B">
        <w:rPr>
          <w:rFonts w:ascii="Arial" w:hAnsi="Arial" w:cs="Arial"/>
          <w:sz w:val="22"/>
          <w:szCs w:val="22"/>
        </w:rPr>
        <w:t>Colect</w:t>
      </w:r>
      <w:proofErr w:type="spellEnd"/>
      <w:r w:rsidRPr="002E087B">
        <w:rPr>
          <w:rFonts w:ascii="Arial" w:hAnsi="Arial" w:cs="Arial"/>
          <w:sz w:val="22"/>
          <w:szCs w:val="22"/>
        </w:rPr>
        <w:t>. 1965</w:t>
      </w:r>
      <w:r w:rsidRPr="002E087B">
        <w:rPr>
          <w:rFonts w:ascii="Arial" w:hAnsi="Arial" w:cs="Arial"/>
          <w:sz w:val="22"/>
          <w:szCs w:val="22"/>
        </w:rPr>
        <w:noBreakHyphen/>
        <w:t xml:space="preserve">1968, pp. 381, 387 e 388), o carácter alternativo deste requisito, indicado pela conjunção «ou», conduz, antes de mais, à necessidade de considerar o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da própria prática concertada, tendo em conta o contexto económico no qual se integra. Porém, se a análise do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da prática concertada não revelar um grau suficiente de nocividade em relação à concorrência, há que examinar então os seus efeitos e, para que a mesma possa ser </w:t>
      </w:r>
      <w:proofErr w:type="spellStart"/>
      <w:r w:rsidRPr="002E087B">
        <w:rPr>
          <w:rFonts w:ascii="Arial" w:hAnsi="Arial" w:cs="Arial"/>
          <w:sz w:val="22"/>
          <w:szCs w:val="22"/>
        </w:rPr>
        <w:t>objecto</w:t>
      </w:r>
      <w:proofErr w:type="spellEnd"/>
      <w:r w:rsidRPr="002E087B">
        <w:rPr>
          <w:rFonts w:ascii="Arial" w:hAnsi="Arial" w:cs="Arial"/>
          <w:sz w:val="22"/>
          <w:szCs w:val="22"/>
        </w:rPr>
        <w:t xml:space="preserve"> da proibição, exigir a reunião dos </w:t>
      </w:r>
      <w:proofErr w:type="spellStart"/>
      <w:r w:rsidRPr="002E087B">
        <w:rPr>
          <w:rFonts w:ascii="Arial" w:hAnsi="Arial" w:cs="Arial"/>
          <w:sz w:val="22"/>
          <w:szCs w:val="22"/>
        </w:rPr>
        <w:t>factores</w:t>
      </w:r>
      <w:proofErr w:type="spellEnd"/>
      <w:r w:rsidRPr="002E087B">
        <w:rPr>
          <w:rFonts w:ascii="Arial" w:hAnsi="Arial" w:cs="Arial"/>
          <w:sz w:val="22"/>
          <w:szCs w:val="22"/>
        </w:rPr>
        <w:t xml:space="preserve"> que determinam que a concorrência foi de facto impedida, restringida ou falseada de forma apreciável (v., neste sentido, acórdão </w:t>
      </w:r>
      <w:proofErr w:type="spellStart"/>
      <w:r w:rsidRPr="002E087B">
        <w:rPr>
          <w:rFonts w:ascii="Arial" w:hAnsi="Arial" w:cs="Arial"/>
          <w:sz w:val="22"/>
          <w:szCs w:val="22"/>
        </w:rPr>
        <w:t>Beef</w:t>
      </w:r>
      <w:proofErr w:type="spellEnd"/>
      <w:r w:rsidRPr="002E087B">
        <w:rPr>
          <w:rFonts w:ascii="Arial" w:hAnsi="Arial" w:cs="Arial"/>
          <w:sz w:val="22"/>
          <w:szCs w:val="22"/>
        </w:rPr>
        <w:t xml:space="preserve"> </w:t>
      </w:r>
      <w:proofErr w:type="spellStart"/>
      <w:r w:rsidRPr="002E087B">
        <w:rPr>
          <w:rFonts w:ascii="Arial" w:hAnsi="Arial" w:cs="Arial"/>
          <w:sz w:val="22"/>
          <w:szCs w:val="22"/>
        </w:rPr>
        <w:t>Industry</w:t>
      </w:r>
      <w:proofErr w:type="spellEnd"/>
      <w:r w:rsidRPr="002E087B">
        <w:rPr>
          <w:rFonts w:ascii="Arial" w:hAnsi="Arial" w:cs="Arial"/>
          <w:sz w:val="22"/>
          <w:szCs w:val="22"/>
        </w:rPr>
        <w:t xml:space="preserve"> </w:t>
      </w:r>
      <w:proofErr w:type="spellStart"/>
      <w:r w:rsidRPr="002E087B">
        <w:rPr>
          <w:rFonts w:ascii="Arial" w:hAnsi="Arial" w:cs="Arial"/>
          <w:sz w:val="22"/>
          <w:szCs w:val="22"/>
        </w:rPr>
        <w:t>Development</w:t>
      </w:r>
      <w:proofErr w:type="spellEnd"/>
      <w:r w:rsidRPr="002E087B">
        <w:rPr>
          <w:rFonts w:ascii="Arial" w:hAnsi="Arial" w:cs="Arial"/>
          <w:sz w:val="22"/>
          <w:szCs w:val="22"/>
        </w:rPr>
        <w:t xml:space="preserve"> </w:t>
      </w:r>
      <w:proofErr w:type="spellStart"/>
      <w:r w:rsidRPr="002E087B">
        <w:rPr>
          <w:rFonts w:ascii="Arial" w:hAnsi="Arial" w:cs="Arial"/>
          <w:sz w:val="22"/>
          <w:szCs w:val="22"/>
        </w:rPr>
        <w:t>Society</w:t>
      </w:r>
      <w:proofErr w:type="spellEnd"/>
      <w:r w:rsidRPr="002E087B">
        <w:rPr>
          <w:rFonts w:ascii="Arial" w:hAnsi="Arial" w:cs="Arial"/>
          <w:sz w:val="22"/>
          <w:szCs w:val="22"/>
        </w:rPr>
        <w:t xml:space="preserve"> e </w:t>
      </w:r>
      <w:proofErr w:type="spellStart"/>
      <w:r w:rsidRPr="002E087B">
        <w:rPr>
          <w:rFonts w:ascii="Arial" w:hAnsi="Arial" w:cs="Arial"/>
          <w:sz w:val="22"/>
          <w:szCs w:val="22"/>
        </w:rPr>
        <w:t>Barry</w:t>
      </w:r>
      <w:proofErr w:type="spellEnd"/>
      <w:r w:rsidRPr="002E087B">
        <w:rPr>
          <w:rFonts w:ascii="Arial" w:hAnsi="Arial" w:cs="Arial"/>
          <w:sz w:val="22"/>
          <w:szCs w:val="22"/>
        </w:rPr>
        <w:t xml:space="preserve"> </w:t>
      </w:r>
      <w:proofErr w:type="spellStart"/>
      <w:r w:rsidRPr="002E087B">
        <w:rPr>
          <w:rFonts w:ascii="Arial" w:hAnsi="Arial" w:cs="Arial"/>
          <w:sz w:val="22"/>
          <w:szCs w:val="22"/>
        </w:rPr>
        <w:t>Brothers</w:t>
      </w:r>
      <w:proofErr w:type="spellEnd"/>
      <w:r w:rsidRPr="002E087B">
        <w:rPr>
          <w:rFonts w:ascii="Arial" w:hAnsi="Arial" w:cs="Arial"/>
          <w:sz w:val="22"/>
          <w:szCs w:val="22"/>
        </w:rPr>
        <w:t xml:space="preserve">, já referido, </w:t>
      </w:r>
      <w:proofErr w:type="spellStart"/>
      <w:r w:rsidRPr="002E087B">
        <w:rPr>
          <w:rFonts w:ascii="Arial" w:hAnsi="Arial" w:cs="Arial"/>
          <w:sz w:val="22"/>
          <w:szCs w:val="22"/>
        </w:rPr>
        <w:t>n.°</w:t>
      </w:r>
      <w:proofErr w:type="spellEnd"/>
      <w:r w:rsidRPr="002E087B">
        <w:rPr>
          <w:rFonts w:ascii="Arial" w:hAnsi="Arial" w:cs="Arial"/>
          <w:sz w:val="22"/>
          <w:szCs w:val="22"/>
        </w:rPr>
        <w:t xml:space="preserve"> 15).</w:t>
      </w:r>
    </w:p>
    <w:p w:rsidR="00D80FE6" w:rsidRPr="002E087B" w:rsidRDefault="00D80FE6" w:rsidP="002E087B">
      <w:pPr>
        <w:pStyle w:val="c01pointnumerotealtn"/>
        <w:spacing w:line="276" w:lineRule="auto"/>
        <w:ind w:left="0"/>
        <w:rPr>
          <w:rFonts w:ascii="Arial" w:hAnsi="Arial" w:cs="Arial"/>
          <w:sz w:val="22"/>
          <w:szCs w:val="22"/>
        </w:rPr>
      </w:pPr>
      <w:bookmarkStart w:id="29" w:name="point29"/>
      <w:r w:rsidRPr="002E087B">
        <w:rPr>
          <w:rFonts w:ascii="Arial" w:hAnsi="Arial" w:cs="Arial"/>
          <w:sz w:val="22"/>
          <w:szCs w:val="22"/>
        </w:rPr>
        <w:t>29</w:t>
      </w:r>
      <w:bookmarkEnd w:id="29"/>
      <w:r w:rsidRPr="002E087B">
        <w:rPr>
          <w:rFonts w:ascii="Arial" w:hAnsi="Arial" w:cs="Arial"/>
          <w:sz w:val="22"/>
          <w:szCs w:val="22"/>
        </w:rPr>
        <w:t xml:space="preserve"> Além disso, há que salientar que, para apreciar se uma prática concertada é proibida pelo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a apreciação dos seus efeitos concretos é supérflua quando se verifique que tem por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impedir, restringir ou falsear a concorrência no mercado comum (v., neste sentido, acórdãos de 13 de Julho de 1966, </w:t>
      </w:r>
      <w:proofErr w:type="spellStart"/>
      <w:r w:rsidRPr="002E087B">
        <w:rPr>
          <w:rFonts w:ascii="Arial" w:hAnsi="Arial" w:cs="Arial"/>
          <w:sz w:val="22"/>
          <w:szCs w:val="22"/>
        </w:rPr>
        <w:t>Consten</w:t>
      </w:r>
      <w:proofErr w:type="spellEnd"/>
      <w:r w:rsidRPr="002E087B">
        <w:rPr>
          <w:rFonts w:ascii="Arial" w:hAnsi="Arial" w:cs="Arial"/>
          <w:sz w:val="22"/>
          <w:szCs w:val="22"/>
        </w:rPr>
        <w:t xml:space="preserve"> e </w:t>
      </w:r>
      <w:proofErr w:type="spellStart"/>
      <w:r w:rsidRPr="002E087B">
        <w:rPr>
          <w:rFonts w:ascii="Arial" w:hAnsi="Arial" w:cs="Arial"/>
          <w:sz w:val="22"/>
          <w:szCs w:val="22"/>
        </w:rPr>
        <w:t>Grundig</w:t>
      </w:r>
      <w:proofErr w:type="spellEnd"/>
      <w:r w:rsidRPr="002E087B">
        <w:rPr>
          <w:rFonts w:ascii="Arial" w:hAnsi="Arial" w:cs="Arial"/>
          <w:sz w:val="22"/>
          <w:szCs w:val="22"/>
        </w:rPr>
        <w:t xml:space="preserve">/Comissão, 56/64 e 58/64, </w:t>
      </w:r>
      <w:proofErr w:type="spellStart"/>
      <w:r w:rsidRPr="002E087B">
        <w:rPr>
          <w:rFonts w:ascii="Arial" w:hAnsi="Arial" w:cs="Arial"/>
          <w:sz w:val="22"/>
          <w:szCs w:val="22"/>
        </w:rPr>
        <w:t>Colect</w:t>
      </w:r>
      <w:proofErr w:type="spellEnd"/>
      <w:r w:rsidRPr="002E087B">
        <w:rPr>
          <w:rFonts w:ascii="Arial" w:hAnsi="Arial" w:cs="Arial"/>
          <w:sz w:val="22"/>
          <w:szCs w:val="22"/>
        </w:rPr>
        <w:t>. 1965</w:t>
      </w:r>
      <w:r w:rsidRPr="002E087B">
        <w:rPr>
          <w:rFonts w:ascii="Arial" w:hAnsi="Arial" w:cs="Arial"/>
          <w:sz w:val="22"/>
          <w:szCs w:val="22"/>
        </w:rPr>
        <w:noBreakHyphen/>
        <w:t xml:space="preserve">1968, pp. 423, 434; de 21 de Setembro de 2006, </w:t>
      </w:r>
      <w:proofErr w:type="spellStart"/>
      <w:r w:rsidRPr="002E087B">
        <w:rPr>
          <w:rFonts w:ascii="Arial" w:hAnsi="Arial" w:cs="Arial"/>
          <w:sz w:val="22"/>
          <w:szCs w:val="22"/>
        </w:rPr>
        <w:t>Nederlandse</w:t>
      </w:r>
      <w:proofErr w:type="spellEnd"/>
      <w:r w:rsidRPr="002E087B">
        <w:rPr>
          <w:rFonts w:ascii="Arial" w:hAnsi="Arial" w:cs="Arial"/>
          <w:sz w:val="22"/>
          <w:szCs w:val="22"/>
        </w:rPr>
        <w:t xml:space="preserve"> </w:t>
      </w:r>
      <w:proofErr w:type="spellStart"/>
      <w:r w:rsidRPr="002E087B">
        <w:rPr>
          <w:rFonts w:ascii="Arial" w:hAnsi="Arial" w:cs="Arial"/>
          <w:sz w:val="22"/>
          <w:szCs w:val="22"/>
        </w:rPr>
        <w:t>Federatieve</w:t>
      </w:r>
      <w:proofErr w:type="spellEnd"/>
      <w:r w:rsidRPr="002E087B">
        <w:rPr>
          <w:rFonts w:ascii="Arial" w:hAnsi="Arial" w:cs="Arial"/>
          <w:sz w:val="22"/>
          <w:szCs w:val="22"/>
        </w:rPr>
        <w:t xml:space="preserve"> </w:t>
      </w:r>
      <w:proofErr w:type="spellStart"/>
      <w:r w:rsidRPr="002E087B">
        <w:rPr>
          <w:rFonts w:ascii="Arial" w:hAnsi="Arial" w:cs="Arial"/>
          <w:sz w:val="22"/>
          <w:szCs w:val="22"/>
        </w:rPr>
        <w:t>Vereniging</w:t>
      </w:r>
      <w:proofErr w:type="spellEnd"/>
      <w:r w:rsidRPr="002E087B">
        <w:rPr>
          <w:rFonts w:ascii="Arial" w:hAnsi="Arial" w:cs="Arial"/>
          <w:sz w:val="22"/>
          <w:szCs w:val="22"/>
        </w:rPr>
        <w:t xml:space="preserve"> </w:t>
      </w:r>
      <w:proofErr w:type="spellStart"/>
      <w:r w:rsidRPr="002E087B">
        <w:rPr>
          <w:rFonts w:ascii="Arial" w:hAnsi="Arial" w:cs="Arial"/>
          <w:sz w:val="22"/>
          <w:szCs w:val="22"/>
        </w:rPr>
        <w:t>voor</w:t>
      </w:r>
      <w:proofErr w:type="spellEnd"/>
      <w:r w:rsidRPr="002E087B">
        <w:rPr>
          <w:rFonts w:ascii="Arial" w:hAnsi="Arial" w:cs="Arial"/>
          <w:sz w:val="22"/>
          <w:szCs w:val="22"/>
        </w:rPr>
        <w:t xml:space="preserve"> de </w:t>
      </w:r>
      <w:proofErr w:type="spellStart"/>
      <w:r w:rsidRPr="002E087B">
        <w:rPr>
          <w:rFonts w:ascii="Arial" w:hAnsi="Arial" w:cs="Arial"/>
          <w:sz w:val="22"/>
          <w:szCs w:val="22"/>
        </w:rPr>
        <w:t>Groothandel</w:t>
      </w:r>
      <w:proofErr w:type="spellEnd"/>
      <w:r w:rsidRPr="002E087B">
        <w:rPr>
          <w:rFonts w:ascii="Arial" w:hAnsi="Arial" w:cs="Arial"/>
          <w:sz w:val="22"/>
          <w:szCs w:val="22"/>
        </w:rPr>
        <w:t xml:space="preserve"> </w:t>
      </w:r>
      <w:proofErr w:type="spellStart"/>
      <w:r w:rsidRPr="002E087B">
        <w:rPr>
          <w:rFonts w:ascii="Arial" w:hAnsi="Arial" w:cs="Arial"/>
          <w:sz w:val="22"/>
          <w:szCs w:val="22"/>
        </w:rPr>
        <w:t>op</w:t>
      </w:r>
      <w:proofErr w:type="spellEnd"/>
      <w:r w:rsidRPr="002E087B">
        <w:rPr>
          <w:rFonts w:ascii="Arial" w:hAnsi="Arial" w:cs="Arial"/>
          <w:sz w:val="22"/>
          <w:szCs w:val="22"/>
        </w:rPr>
        <w:t xml:space="preserve"> </w:t>
      </w:r>
      <w:proofErr w:type="spellStart"/>
      <w:r w:rsidRPr="002E087B">
        <w:rPr>
          <w:rFonts w:ascii="Arial" w:hAnsi="Arial" w:cs="Arial"/>
          <w:sz w:val="22"/>
          <w:szCs w:val="22"/>
        </w:rPr>
        <w:t>Elektrotechnisch</w:t>
      </w:r>
      <w:proofErr w:type="spellEnd"/>
      <w:r w:rsidRPr="002E087B">
        <w:rPr>
          <w:rFonts w:ascii="Arial" w:hAnsi="Arial" w:cs="Arial"/>
          <w:sz w:val="22"/>
          <w:szCs w:val="22"/>
        </w:rPr>
        <w:t xml:space="preserve"> </w:t>
      </w:r>
      <w:proofErr w:type="spellStart"/>
      <w:r w:rsidRPr="002E087B">
        <w:rPr>
          <w:rFonts w:ascii="Arial" w:hAnsi="Arial" w:cs="Arial"/>
          <w:sz w:val="22"/>
          <w:szCs w:val="22"/>
        </w:rPr>
        <w:t>Gebied</w:t>
      </w:r>
      <w:proofErr w:type="spellEnd"/>
      <w:r w:rsidRPr="002E087B">
        <w:rPr>
          <w:rFonts w:ascii="Arial" w:hAnsi="Arial" w:cs="Arial"/>
          <w:sz w:val="22"/>
          <w:szCs w:val="22"/>
        </w:rPr>
        <w:t>/Comissão, C</w:t>
      </w:r>
      <w:r w:rsidRPr="002E087B">
        <w:rPr>
          <w:rFonts w:ascii="Arial" w:hAnsi="Arial" w:cs="Arial"/>
          <w:sz w:val="22"/>
          <w:szCs w:val="22"/>
        </w:rPr>
        <w:noBreakHyphen/>
        <w:t xml:space="preserve">105/04 P, </w:t>
      </w:r>
      <w:proofErr w:type="spellStart"/>
      <w:r w:rsidRPr="002E087B">
        <w:rPr>
          <w:rFonts w:ascii="Arial" w:hAnsi="Arial" w:cs="Arial"/>
          <w:sz w:val="22"/>
          <w:szCs w:val="22"/>
        </w:rPr>
        <w:t>Colect</w:t>
      </w:r>
      <w:proofErr w:type="spellEnd"/>
      <w:r w:rsidRPr="002E087B">
        <w:rPr>
          <w:rFonts w:ascii="Arial" w:hAnsi="Arial" w:cs="Arial"/>
          <w:sz w:val="22"/>
          <w:szCs w:val="22"/>
        </w:rPr>
        <w:t>., p. I</w:t>
      </w:r>
      <w:r w:rsidRPr="002E087B">
        <w:rPr>
          <w:rFonts w:ascii="Arial" w:hAnsi="Arial" w:cs="Arial"/>
          <w:sz w:val="22"/>
          <w:szCs w:val="22"/>
        </w:rPr>
        <w:noBreakHyphen/>
        <w:t xml:space="preserve">8725, </w:t>
      </w:r>
      <w:proofErr w:type="spellStart"/>
      <w:r w:rsidRPr="002E087B">
        <w:rPr>
          <w:rFonts w:ascii="Arial" w:hAnsi="Arial" w:cs="Arial"/>
          <w:sz w:val="22"/>
          <w:szCs w:val="22"/>
        </w:rPr>
        <w:t>n.°</w:t>
      </w:r>
      <w:proofErr w:type="spellEnd"/>
      <w:r w:rsidRPr="002E087B">
        <w:rPr>
          <w:rFonts w:ascii="Arial" w:hAnsi="Arial" w:cs="Arial"/>
          <w:sz w:val="22"/>
          <w:szCs w:val="22"/>
        </w:rPr>
        <w:t xml:space="preserve"> 125, e </w:t>
      </w:r>
      <w:proofErr w:type="spellStart"/>
      <w:r w:rsidRPr="002E087B">
        <w:rPr>
          <w:rFonts w:ascii="Arial" w:hAnsi="Arial" w:cs="Arial"/>
          <w:sz w:val="22"/>
          <w:szCs w:val="22"/>
        </w:rPr>
        <w:t>Beef</w:t>
      </w:r>
      <w:proofErr w:type="spellEnd"/>
      <w:r w:rsidRPr="002E087B">
        <w:rPr>
          <w:rFonts w:ascii="Arial" w:hAnsi="Arial" w:cs="Arial"/>
          <w:sz w:val="22"/>
          <w:szCs w:val="22"/>
        </w:rPr>
        <w:t xml:space="preserve"> </w:t>
      </w:r>
      <w:proofErr w:type="spellStart"/>
      <w:r w:rsidRPr="002E087B">
        <w:rPr>
          <w:rFonts w:ascii="Arial" w:hAnsi="Arial" w:cs="Arial"/>
          <w:sz w:val="22"/>
          <w:szCs w:val="22"/>
        </w:rPr>
        <w:t>Industry</w:t>
      </w:r>
      <w:proofErr w:type="spellEnd"/>
      <w:r w:rsidRPr="002E087B">
        <w:rPr>
          <w:rFonts w:ascii="Arial" w:hAnsi="Arial" w:cs="Arial"/>
          <w:sz w:val="22"/>
          <w:szCs w:val="22"/>
        </w:rPr>
        <w:t xml:space="preserve"> </w:t>
      </w:r>
      <w:proofErr w:type="spellStart"/>
      <w:r w:rsidRPr="002E087B">
        <w:rPr>
          <w:rFonts w:ascii="Arial" w:hAnsi="Arial" w:cs="Arial"/>
          <w:sz w:val="22"/>
          <w:szCs w:val="22"/>
        </w:rPr>
        <w:t>Development</w:t>
      </w:r>
      <w:proofErr w:type="spellEnd"/>
      <w:r w:rsidRPr="002E087B">
        <w:rPr>
          <w:rFonts w:ascii="Arial" w:hAnsi="Arial" w:cs="Arial"/>
          <w:sz w:val="22"/>
          <w:szCs w:val="22"/>
        </w:rPr>
        <w:t xml:space="preserve"> </w:t>
      </w:r>
      <w:proofErr w:type="spellStart"/>
      <w:r w:rsidRPr="002E087B">
        <w:rPr>
          <w:rFonts w:ascii="Arial" w:hAnsi="Arial" w:cs="Arial"/>
          <w:sz w:val="22"/>
          <w:szCs w:val="22"/>
        </w:rPr>
        <w:t>Society</w:t>
      </w:r>
      <w:proofErr w:type="spellEnd"/>
      <w:r w:rsidRPr="002E087B">
        <w:rPr>
          <w:rFonts w:ascii="Arial" w:hAnsi="Arial" w:cs="Arial"/>
          <w:sz w:val="22"/>
          <w:szCs w:val="22"/>
        </w:rPr>
        <w:t xml:space="preserve"> e </w:t>
      </w:r>
      <w:proofErr w:type="spellStart"/>
      <w:r w:rsidRPr="002E087B">
        <w:rPr>
          <w:rFonts w:ascii="Arial" w:hAnsi="Arial" w:cs="Arial"/>
          <w:sz w:val="22"/>
          <w:szCs w:val="22"/>
        </w:rPr>
        <w:t>Barry</w:t>
      </w:r>
      <w:proofErr w:type="spellEnd"/>
      <w:r w:rsidRPr="002E087B">
        <w:rPr>
          <w:rFonts w:ascii="Arial" w:hAnsi="Arial" w:cs="Arial"/>
          <w:sz w:val="22"/>
          <w:szCs w:val="22"/>
        </w:rPr>
        <w:t xml:space="preserve"> </w:t>
      </w:r>
      <w:proofErr w:type="spellStart"/>
      <w:r w:rsidRPr="002E087B">
        <w:rPr>
          <w:rFonts w:ascii="Arial" w:hAnsi="Arial" w:cs="Arial"/>
          <w:sz w:val="22"/>
          <w:szCs w:val="22"/>
        </w:rPr>
        <w:t>Brothers</w:t>
      </w:r>
      <w:proofErr w:type="spellEnd"/>
      <w:r w:rsidRPr="002E087B">
        <w:rPr>
          <w:rFonts w:ascii="Arial" w:hAnsi="Arial" w:cs="Arial"/>
          <w:sz w:val="22"/>
          <w:szCs w:val="22"/>
        </w:rPr>
        <w:t xml:space="preserve">, já referido, </w:t>
      </w:r>
      <w:proofErr w:type="spellStart"/>
      <w:r w:rsidRPr="002E087B">
        <w:rPr>
          <w:rFonts w:ascii="Arial" w:hAnsi="Arial" w:cs="Arial"/>
          <w:sz w:val="22"/>
          <w:szCs w:val="22"/>
        </w:rPr>
        <w:t>n.°</w:t>
      </w:r>
      <w:proofErr w:type="spellEnd"/>
      <w:r w:rsidRPr="002E087B">
        <w:rPr>
          <w:rFonts w:ascii="Arial" w:hAnsi="Arial" w:cs="Arial"/>
          <w:sz w:val="22"/>
          <w:szCs w:val="22"/>
        </w:rPr>
        <w:t xml:space="preserve"> 16). A distinção entre «</w:t>
      </w:r>
      <w:proofErr w:type="spellStart"/>
      <w:r w:rsidRPr="002E087B">
        <w:rPr>
          <w:rFonts w:ascii="Arial" w:hAnsi="Arial" w:cs="Arial"/>
          <w:sz w:val="22"/>
          <w:szCs w:val="22"/>
        </w:rPr>
        <w:t>infracções</w:t>
      </w:r>
      <w:proofErr w:type="spellEnd"/>
      <w:r w:rsidRPr="002E087B">
        <w:rPr>
          <w:rFonts w:ascii="Arial" w:hAnsi="Arial" w:cs="Arial"/>
          <w:sz w:val="22"/>
          <w:szCs w:val="22"/>
        </w:rPr>
        <w:t xml:space="preserve"> pelo </w:t>
      </w:r>
      <w:proofErr w:type="spellStart"/>
      <w:r w:rsidRPr="002E087B">
        <w:rPr>
          <w:rFonts w:ascii="Arial" w:hAnsi="Arial" w:cs="Arial"/>
          <w:sz w:val="22"/>
          <w:szCs w:val="22"/>
        </w:rPr>
        <w:t>objectivo</w:t>
      </w:r>
      <w:proofErr w:type="spellEnd"/>
      <w:r w:rsidRPr="002E087B">
        <w:rPr>
          <w:rFonts w:ascii="Arial" w:hAnsi="Arial" w:cs="Arial"/>
          <w:sz w:val="22"/>
          <w:szCs w:val="22"/>
        </w:rPr>
        <w:t>» e «</w:t>
      </w:r>
      <w:proofErr w:type="spellStart"/>
      <w:r w:rsidRPr="002E087B">
        <w:rPr>
          <w:rFonts w:ascii="Arial" w:hAnsi="Arial" w:cs="Arial"/>
          <w:sz w:val="22"/>
          <w:szCs w:val="22"/>
        </w:rPr>
        <w:t>infracções</w:t>
      </w:r>
      <w:proofErr w:type="spellEnd"/>
      <w:r w:rsidRPr="002E087B">
        <w:rPr>
          <w:rFonts w:ascii="Arial" w:hAnsi="Arial" w:cs="Arial"/>
          <w:sz w:val="22"/>
          <w:szCs w:val="22"/>
        </w:rPr>
        <w:t xml:space="preserve"> pelo efeito» tem a ver com o facto de determinadas formas de conluio entre empresas poderem ser consideradas, pela sua própria natureza, prejudiciais ao funcionamento </w:t>
      </w:r>
      <w:proofErr w:type="spellStart"/>
      <w:r w:rsidRPr="002E087B">
        <w:rPr>
          <w:rFonts w:ascii="Arial" w:hAnsi="Arial" w:cs="Arial"/>
          <w:sz w:val="22"/>
          <w:szCs w:val="22"/>
        </w:rPr>
        <w:t>correcto</w:t>
      </w:r>
      <w:proofErr w:type="spellEnd"/>
      <w:r w:rsidRPr="002E087B">
        <w:rPr>
          <w:rFonts w:ascii="Arial" w:hAnsi="Arial" w:cs="Arial"/>
          <w:sz w:val="22"/>
          <w:szCs w:val="22"/>
        </w:rPr>
        <w:t xml:space="preserve"> e normal da concorrência (v. acórdão </w:t>
      </w:r>
      <w:proofErr w:type="spellStart"/>
      <w:r w:rsidRPr="002E087B">
        <w:rPr>
          <w:rFonts w:ascii="Arial" w:hAnsi="Arial" w:cs="Arial"/>
          <w:sz w:val="22"/>
          <w:szCs w:val="22"/>
        </w:rPr>
        <w:t>Beef</w:t>
      </w:r>
      <w:proofErr w:type="spellEnd"/>
      <w:r w:rsidRPr="002E087B">
        <w:rPr>
          <w:rFonts w:ascii="Arial" w:hAnsi="Arial" w:cs="Arial"/>
          <w:sz w:val="22"/>
          <w:szCs w:val="22"/>
        </w:rPr>
        <w:t xml:space="preserve"> </w:t>
      </w:r>
      <w:proofErr w:type="spellStart"/>
      <w:r w:rsidRPr="002E087B">
        <w:rPr>
          <w:rFonts w:ascii="Arial" w:hAnsi="Arial" w:cs="Arial"/>
          <w:sz w:val="22"/>
          <w:szCs w:val="22"/>
        </w:rPr>
        <w:t>Industry</w:t>
      </w:r>
      <w:proofErr w:type="spellEnd"/>
      <w:r w:rsidRPr="002E087B">
        <w:rPr>
          <w:rFonts w:ascii="Arial" w:hAnsi="Arial" w:cs="Arial"/>
          <w:sz w:val="22"/>
          <w:szCs w:val="22"/>
        </w:rPr>
        <w:t xml:space="preserve"> </w:t>
      </w:r>
      <w:proofErr w:type="spellStart"/>
      <w:r w:rsidRPr="002E087B">
        <w:rPr>
          <w:rFonts w:ascii="Arial" w:hAnsi="Arial" w:cs="Arial"/>
          <w:sz w:val="22"/>
          <w:szCs w:val="22"/>
        </w:rPr>
        <w:t>Development</w:t>
      </w:r>
      <w:proofErr w:type="spellEnd"/>
      <w:r w:rsidRPr="002E087B">
        <w:rPr>
          <w:rFonts w:ascii="Arial" w:hAnsi="Arial" w:cs="Arial"/>
          <w:sz w:val="22"/>
          <w:szCs w:val="22"/>
        </w:rPr>
        <w:t xml:space="preserve"> </w:t>
      </w:r>
      <w:proofErr w:type="spellStart"/>
      <w:r w:rsidRPr="002E087B">
        <w:rPr>
          <w:rFonts w:ascii="Arial" w:hAnsi="Arial" w:cs="Arial"/>
          <w:sz w:val="22"/>
          <w:szCs w:val="22"/>
        </w:rPr>
        <w:t>Society</w:t>
      </w:r>
      <w:proofErr w:type="spellEnd"/>
      <w:r w:rsidRPr="002E087B">
        <w:rPr>
          <w:rFonts w:ascii="Arial" w:hAnsi="Arial" w:cs="Arial"/>
          <w:sz w:val="22"/>
          <w:szCs w:val="22"/>
        </w:rPr>
        <w:t xml:space="preserve"> e </w:t>
      </w:r>
      <w:proofErr w:type="spellStart"/>
      <w:r w:rsidRPr="002E087B">
        <w:rPr>
          <w:rFonts w:ascii="Arial" w:hAnsi="Arial" w:cs="Arial"/>
          <w:sz w:val="22"/>
          <w:szCs w:val="22"/>
        </w:rPr>
        <w:t>Barry</w:t>
      </w:r>
      <w:proofErr w:type="spellEnd"/>
      <w:r w:rsidRPr="002E087B">
        <w:rPr>
          <w:rFonts w:ascii="Arial" w:hAnsi="Arial" w:cs="Arial"/>
          <w:sz w:val="22"/>
          <w:szCs w:val="22"/>
        </w:rPr>
        <w:t xml:space="preserve"> </w:t>
      </w:r>
      <w:proofErr w:type="spellStart"/>
      <w:r w:rsidRPr="002E087B">
        <w:rPr>
          <w:rFonts w:ascii="Arial" w:hAnsi="Arial" w:cs="Arial"/>
          <w:sz w:val="22"/>
          <w:szCs w:val="22"/>
        </w:rPr>
        <w:t>Brothers</w:t>
      </w:r>
      <w:proofErr w:type="spellEnd"/>
      <w:r w:rsidRPr="002E087B">
        <w:rPr>
          <w:rFonts w:ascii="Arial" w:hAnsi="Arial" w:cs="Arial"/>
          <w:sz w:val="22"/>
          <w:szCs w:val="22"/>
        </w:rPr>
        <w:t xml:space="preserve">, já referido, </w:t>
      </w:r>
      <w:proofErr w:type="spellStart"/>
      <w:r w:rsidRPr="002E087B">
        <w:rPr>
          <w:rFonts w:ascii="Arial" w:hAnsi="Arial" w:cs="Arial"/>
          <w:sz w:val="22"/>
          <w:szCs w:val="22"/>
        </w:rPr>
        <w:t>n.°</w:t>
      </w:r>
      <w:proofErr w:type="spellEnd"/>
      <w:r w:rsidRPr="002E087B">
        <w:rPr>
          <w:rFonts w:ascii="Arial" w:hAnsi="Arial" w:cs="Arial"/>
          <w:sz w:val="22"/>
          <w:szCs w:val="22"/>
        </w:rPr>
        <w:t xml:space="preserve"> 17).</w:t>
      </w:r>
    </w:p>
    <w:p w:rsidR="00D80FE6" w:rsidRPr="002E087B" w:rsidRDefault="00D80FE6" w:rsidP="002E087B">
      <w:pPr>
        <w:pStyle w:val="c01pointnumerotealtn"/>
        <w:spacing w:line="276" w:lineRule="auto"/>
        <w:ind w:left="0"/>
        <w:rPr>
          <w:rFonts w:ascii="Arial" w:hAnsi="Arial" w:cs="Arial"/>
          <w:sz w:val="22"/>
          <w:szCs w:val="22"/>
        </w:rPr>
      </w:pPr>
      <w:bookmarkStart w:id="30" w:name="point30"/>
      <w:r w:rsidRPr="002E087B">
        <w:rPr>
          <w:rFonts w:ascii="Arial" w:hAnsi="Arial" w:cs="Arial"/>
          <w:sz w:val="22"/>
          <w:szCs w:val="22"/>
        </w:rPr>
        <w:t>30</w:t>
      </w:r>
      <w:bookmarkEnd w:id="30"/>
      <w:r w:rsidRPr="002E087B">
        <w:rPr>
          <w:rFonts w:ascii="Arial" w:hAnsi="Arial" w:cs="Arial"/>
          <w:sz w:val="22"/>
          <w:szCs w:val="22"/>
        </w:rPr>
        <w:t xml:space="preserve"> Nestas condições, ao contrário do que afirma o órgão jurisdicional de reenvio, não é necessário analisar os efeitos de uma prática concertada quando estiver demonstrado que a mesma tem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w:t>
      </w:r>
    </w:p>
    <w:p w:rsidR="00D80FE6" w:rsidRPr="002E087B" w:rsidRDefault="00D80FE6" w:rsidP="002E087B">
      <w:pPr>
        <w:pStyle w:val="c01pointnumerotealtn"/>
        <w:spacing w:line="276" w:lineRule="auto"/>
        <w:ind w:left="0"/>
        <w:rPr>
          <w:rFonts w:ascii="Arial" w:hAnsi="Arial" w:cs="Arial"/>
          <w:sz w:val="22"/>
          <w:szCs w:val="22"/>
        </w:rPr>
      </w:pPr>
      <w:bookmarkStart w:id="31" w:name="point31"/>
      <w:r w:rsidRPr="002E087B">
        <w:rPr>
          <w:rFonts w:ascii="Arial" w:hAnsi="Arial" w:cs="Arial"/>
          <w:sz w:val="22"/>
          <w:szCs w:val="22"/>
        </w:rPr>
        <w:lastRenderedPageBreak/>
        <w:t>31</w:t>
      </w:r>
      <w:bookmarkEnd w:id="31"/>
      <w:r w:rsidRPr="002E087B">
        <w:rPr>
          <w:rFonts w:ascii="Arial" w:hAnsi="Arial" w:cs="Arial"/>
          <w:sz w:val="22"/>
          <w:szCs w:val="22"/>
        </w:rPr>
        <w:t xml:space="preserve"> Quanto à apreciação do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de uma prática concertada como a que está em causa no processo principal, importa recordar, em primeiro lugar, que, como referiu a advogada</w:t>
      </w:r>
      <w:r w:rsidRPr="002E087B">
        <w:rPr>
          <w:rFonts w:ascii="Arial" w:hAnsi="Arial" w:cs="Arial"/>
          <w:sz w:val="22"/>
          <w:szCs w:val="22"/>
        </w:rPr>
        <w:noBreakHyphen/>
        <w:t xml:space="preserve">geral no </w:t>
      </w:r>
      <w:proofErr w:type="spellStart"/>
      <w:r w:rsidRPr="002E087B">
        <w:rPr>
          <w:rFonts w:ascii="Arial" w:hAnsi="Arial" w:cs="Arial"/>
          <w:sz w:val="22"/>
          <w:szCs w:val="22"/>
        </w:rPr>
        <w:t>n.°</w:t>
      </w:r>
      <w:proofErr w:type="spellEnd"/>
      <w:r w:rsidRPr="002E087B">
        <w:rPr>
          <w:rFonts w:ascii="Arial" w:hAnsi="Arial" w:cs="Arial"/>
          <w:sz w:val="22"/>
          <w:szCs w:val="22"/>
        </w:rPr>
        <w:t xml:space="preserve"> 46 </w:t>
      </w:r>
      <w:proofErr w:type="gramStart"/>
      <w:r w:rsidRPr="002E087B">
        <w:rPr>
          <w:rFonts w:ascii="Arial" w:hAnsi="Arial" w:cs="Arial"/>
          <w:sz w:val="22"/>
          <w:szCs w:val="22"/>
        </w:rPr>
        <w:t>das</w:t>
      </w:r>
      <w:proofErr w:type="gramEnd"/>
      <w:r w:rsidRPr="002E087B">
        <w:rPr>
          <w:rFonts w:ascii="Arial" w:hAnsi="Arial" w:cs="Arial"/>
          <w:sz w:val="22"/>
          <w:szCs w:val="22"/>
        </w:rPr>
        <w:t xml:space="preserve"> suas conclusões, para ter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basta que a prática concertada seja </w:t>
      </w:r>
      <w:proofErr w:type="spellStart"/>
      <w:r w:rsidRPr="002E087B">
        <w:rPr>
          <w:rFonts w:ascii="Arial" w:hAnsi="Arial" w:cs="Arial"/>
          <w:sz w:val="22"/>
          <w:szCs w:val="22"/>
        </w:rPr>
        <w:t>susceptível</w:t>
      </w:r>
      <w:proofErr w:type="spellEnd"/>
      <w:r w:rsidRPr="002E087B">
        <w:rPr>
          <w:rFonts w:ascii="Arial" w:hAnsi="Arial" w:cs="Arial"/>
          <w:sz w:val="22"/>
          <w:szCs w:val="22"/>
        </w:rPr>
        <w:t xml:space="preserve"> de produzir efeitos negativos sobre a concorrência. Por outras palavras, a prática em causa apenas tem de ser concretamente apta, atendendo ao contexto jurídico e económico em que se insere, a impedir, restringir ou falsear a concorrência no mercado comum. A questão de saber se e em que medida esse efeito se verifica realmente só tem importância para calcular o montante das coimas e avaliar os direitos a indemnizações.</w:t>
      </w:r>
    </w:p>
    <w:p w:rsidR="00D80FE6" w:rsidRPr="002E087B" w:rsidRDefault="00D80FE6" w:rsidP="002E087B">
      <w:pPr>
        <w:pStyle w:val="c01pointnumerotealtn"/>
        <w:spacing w:line="276" w:lineRule="auto"/>
        <w:ind w:left="0"/>
        <w:rPr>
          <w:rFonts w:ascii="Arial" w:hAnsi="Arial" w:cs="Arial"/>
          <w:sz w:val="22"/>
          <w:szCs w:val="22"/>
        </w:rPr>
      </w:pPr>
      <w:bookmarkStart w:id="32" w:name="point32"/>
      <w:r w:rsidRPr="002E087B">
        <w:rPr>
          <w:rFonts w:ascii="Arial" w:hAnsi="Arial" w:cs="Arial"/>
          <w:sz w:val="22"/>
          <w:szCs w:val="22"/>
        </w:rPr>
        <w:t>32</w:t>
      </w:r>
      <w:bookmarkEnd w:id="32"/>
      <w:r w:rsidRPr="002E087B">
        <w:rPr>
          <w:rFonts w:ascii="Arial" w:hAnsi="Arial" w:cs="Arial"/>
          <w:sz w:val="22"/>
          <w:szCs w:val="22"/>
        </w:rPr>
        <w:t xml:space="preserve"> Em segundo lugar, no que diz respeito à troca de informações entre concorrentes, importa recordar que os critérios de coordenação e de cooperação constitutivos de uma prática concertada devem ser interpretados à luz da </w:t>
      </w:r>
      <w:proofErr w:type="spellStart"/>
      <w:r w:rsidRPr="002E087B">
        <w:rPr>
          <w:rFonts w:ascii="Arial" w:hAnsi="Arial" w:cs="Arial"/>
          <w:sz w:val="22"/>
          <w:szCs w:val="22"/>
        </w:rPr>
        <w:t>concepção</w:t>
      </w:r>
      <w:proofErr w:type="spellEnd"/>
      <w:r w:rsidRPr="002E087B">
        <w:rPr>
          <w:rFonts w:ascii="Arial" w:hAnsi="Arial" w:cs="Arial"/>
          <w:sz w:val="22"/>
          <w:szCs w:val="22"/>
        </w:rPr>
        <w:t xml:space="preserve"> inerente às disposições do Tratado relativas à concorrência, segundo a qual qualquer operador económico deve determinar de maneira autónoma a política que pretende seguir no mercado comum (v. acórdãos </w:t>
      </w:r>
      <w:proofErr w:type="spellStart"/>
      <w:r w:rsidRPr="002E087B">
        <w:rPr>
          <w:rFonts w:ascii="Arial" w:hAnsi="Arial" w:cs="Arial"/>
          <w:sz w:val="22"/>
          <w:szCs w:val="22"/>
        </w:rPr>
        <w:t>Suiker</w:t>
      </w:r>
      <w:proofErr w:type="spellEnd"/>
      <w:r w:rsidRPr="002E087B">
        <w:rPr>
          <w:rFonts w:ascii="Arial" w:hAnsi="Arial" w:cs="Arial"/>
          <w:sz w:val="22"/>
          <w:szCs w:val="22"/>
        </w:rPr>
        <w:t xml:space="preserve"> </w:t>
      </w:r>
      <w:proofErr w:type="spellStart"/>
      <w:r w:rsidRPr="002E087B">
        <w:rPr>
          <w:rFonts w:ascii="Arial" w:hAnsi="Arial" w:cs="Arial"/>
          <w:sz w:val="22"/>
          <w:szCs w:val="22"/>
        </w:rPr>
        <w:t>Unie</w:t>
      </w:r>
      <w:proofErr w:type="spellEnd"/>
      <w:r w:rsidRPr="002E087B">
        <w:rPr>
          <w:rFonts w:ascii="Arial" w:hAnsi="Arial" w:cs="Arial"/>
          <w:sz w:val="22"/>
          <w:szCs w:val="22"/>
        </w:rPr>
        <w:t xml:space="preserve"> e o./Comissão, já referido, </w:t>
      </w:r>
      <w:proofErr w:type="spellStart"/>
      <w:r w:rsidRPr="002E087B">
        <w:rPr>
          <w:rFonts w:ascii="Arial" w:hAnsi="Arial" w:cs="Arial"/>
          <w:sz w:val="22"/>
          <w:szCs w:val="22"/>
        </w:rPr>
        <w:t>n.°</w:t>
      </w:r>
      <w:proofErr w:type="spellEnd"/>
      <w:r w:rsidRPr="002E087B">
        <w:rPr>
          <w:rFonts w:ascii="Arial" w:hAnsi="Arial" w:cs="Arial"/>
          <w:sz w:val="22"/>
          <w:szCs w:val="22"/>
        </w:rPr>
        <w:t xml:space="preserve"> 173; de 14 de Julho de 1981, </w:t>
      </w:r>
      <w:proofErr w:type="spellStart"/>
      <w:r w:rsidRPr="002E087B">
        <w:rPr>
          <w:rFonts w:ascii="Arial" w:hAnsi="Arial" w:cs="Arial"/>
          <w:sz w:val="22"/>
          <w:szCs w:val="22"/>
        </w:rPr>
        <w:t>Züchner</w:t>
      </w:r>
      <w:proofErr w:type="spellEnd"/>
      <w:r w:rsidRPr="002E087B">
        <w:rPr>
          <w:rFonts w:ascii="Arial" w:hAnsi="Arial" w:cs="Arial"/>
          <w:sz w:val="22"/>
          <w:szCs w:val="22"/>
        </w:rPr>
        <w:t xml:space="preserve">, 172/80, </w:t>
      </w:r>
      <w:proofErr w:type="spellStart"/>
      <w:r w:rsidRPr="002E087B">
        <w:rPr>
          <w:rFonts w:ascii="Arial" w:hAnsi="Arial" w:cs="Arial"/>
          <w:sz w:val="22"/>
          <w:szCs w:val="22"/>
        </w:rPr>
        <w:t>Recueil</w:t>
      </w:r>
      <w:proofErr w:type="spellEnd"/>
      <w:r w:rsidRPr="002E087B">
        <w:rPr>
          <w:rFonts w:ascii="Arial" w:hAnsi="Arial" w:cs="Arial"/>
          <w:sz w:val="22"/>
          <w:szCs w:val="22"/>
        </w:rPr>
        <w:t xml:space="preserve">, p. 2021, </w:t>
      </w:r>
      <w:proofErr w:type="spellStart"/>
      <w:r w:rsidRPr="002E087B">
        <w:rPr>
          <w:rFonts w:ascii="Arial" w:hAnsi="Arial" w:cs="Arial"/>
          <w:sz w:val="22"/>
          <w:szCs w:val="22"/>
        </w:rPr>
        <w:t>n.°</w:t>
      </w:r>
      <w:proofErr w:type="spellEnd"/>
      <w:r w:rsidRPr="002E087B">
        <w:rPr>
          <w:rFonts w:ascii="Arial" w:hAnsi="Arial" w:cs="Arial"/>
          <w:sz w:val="22"/>
          <w:szCs w:val="22"/>
        </w:rPr>
        <w:t xml:space="preserve"> 13; </w:t>
      </w:r>
      <w:proofErr w:type="spellStart"/>
      <w:r w:rsidRPr="002E087B">
        <w:rPr>
          <w:rFonts w:ascii="Arial" w:hAnsi="Arial" w:cs="Arial"/>
          <w:sz w:val="22"/>
          <w:szCs w:val="22"/>
        </w:rPr>
        <w:t>Ahlström</w:t>
      </w:r>
      <w:proofErr w:type="spellEnd"/>
      <w:r w:rsidRPr="002E087B">
        <w:rPr>
          <w:rFonts w:ascii="Arial" w:hAnsi="Arial" w:cs="Arial"/>
          <w:sz w:val="22"/>
          <w:szCs w:val="22"/>
        </w:rPr>
        <w:t xml:space="preserve"> </w:t>
      </w:r>
      <w:proofErr w:type="spellStart"/>
      <w:r w:rsidRPr="002E087B">
        <w:rPr>
          <w:rFonts w:ascii="Arial" w:hAnsi="Arial" w:cs="Arial"/>
          <w:sz w:val="22"/>
          <w:szCs w:val="22"/>
        </w:rPr>
        <w:t>Osakeyhtiö</w:t>
      </w:r>
      <w:proofErr w:type="spellEnd"/>
      <w:r w:rsidRPr="002E087B">
        <w:rPr>
          <w:rFonts w:ascii="Arial" w:hAnsi="Arial" w:cs="Arial"/>
          <w:sz w:val="22"/>
          <w:szCs w:val="22"/>
        </w:rPr>
        <w:t xml:space="preserve"> e o./Comissão, já referido, </w:t>
      </w:r>
      <w:proofErr w:type="spellStart"/>
      <w:r w:rsidRPr="002E087B">
        <w:rPr>
          <w:rFonts w:ascii="Arial" w:hAnsi="Arial" w:cs="Arial"/>
          <w:sz w:val="22"/>
          <w:szCs w:val="22"/>
        </w:rPr>
        <w:t>n.°</w:t>
      </w:r>
      <w:proofErr w:type="spellEnd"/>
      <w:r w:rsidRPr="002E087B">
        <w:rPr>
          <w:rFonts w:ascii="Arial" w:hAnsi="Arial" w:cs="Arial"/>
          <w:sz w:val="22"/>
          <w:szCs w:val="22"/>
        </w:rPr>
        <w:t xml:space="preserve"> 63, e de 28 de Maio de 1998, </w:t>
      </w:r>
      <w:proofErr w:type="spellStart"/>
      <w:r w:rsidRPr="002E087B">
        <w:rPr>
          <w:rFonts w:ascii="Arial" w:hAnsi="Arial" w:cs="Arial"/>
          <w:sz w:val="22"/>
          <w:szCs w:val="22"/>
        </w:rPr>
        <w:t>Deere</w:t>
      </w:r>
      <w:proofErr w:type="spellEnd"/>
      <w:r w:rsidRPr="002E087B">
        <w:rPr>
          <w:rFonts w:ascii="Arial" w:hAnsi="Arial" w:cs="Arial"/>
          <w:sz w:val="22"/>
          <w:szCs w:val="22"/>
        </w:rPr>
        <w:t>/Comissão, C</w:t>
      </w:r>
      <w:r w:rsidRPr="002E087B">
        <w:rPr>
          <w:rFonts w:ascii="Arial" w:hAnsi="Arial" w:cs="Arial"/>
          <w:sz w:val="22"/>
          <w:szCs w:val="22"/>
        </w:rPr>
        <w:noBreakHyphen/>
        <w:t xml:space="preserve">7/95 P, </w:t>
      </w:r>
      <w:proofErr w:type="spellStart"/>
      <w:r w:rsidRPr="002E087B">
        <w:rPr>
          <w:rFonts w:ascii="Arial" w:hAnsi="Arial" w:cs="Arial"/>
          <w:sz w:val="22"/>
          <w:szCs w:val="22"/>
        </w:rPr>
        <w:t>Colect</w:t>
      </w:r>
      <w:proofErr w:type="spellEnd"/>
      <w:r w:rsidRPr="002E087B">
        <w:rPr>
          <w:rFonts w:ascii="Arial" w:hAnsi="Arial" w:cs="Arial"/>
          <w:sz w:val="22"/>
          <w:szCs w:val="22"/>
        </w:rPr>
        <w:t>., p. I</w:t>
      </w:r>
      <w:r w:rsidRPr="002E087B">
        <w:rPr>
          <w:rFonts w:ascii="Arial" w:hAnsi="Arial" w:cs="Arial"/>
          <w:sz w:val="22"/>
          <w:szCs w:val="22"/>
        </w:rPr>
        <w:noBreakHyphen/>
        <w:t xml:space="preserve">3111, </w:t>
      </w:r>
      <w:proofErr w:type="spellStart"/>
      <w:r w:rsidRPr="002E087B">
        <w:rPr>
          <w:rFonts w:ascii="Arial" w:hAnsi="Arial" w:cs="Arial"/>
          <w:sz w:val="22"/>
          <w:szCs w:val="22"/>
        </w:rPr>
        <w:t>n.°</w:t>
      </w:r>
      <w:proofErr w:type="spellEnd"/>
      <w:r w:rsidRPr="002E087B">
        <w:rPr>
          <w:rFonts w:ascii="Arial" w:hAnsi="Arial" w:cs="Arial"/>
          <w:sz w:val="22"/>
          <w:szCs w:val="22"/>
        </w:rPr>
        <w:t xml:space="preserve"> 86).</w:t>
      </w:r>
    </w:p>
    <w:p w:rsidR="00D80FE6" w:rsidRPr="002E087B" w:rsidRDefault="00D80FE6" w:rsidP="002E087B">
      <w:pPr>
        <w:pStyle w:val="c01pointnumerotealtn"/>
        <w:spacing w:line="276" w:lineRule="auto"/>
        <w:ind w:left="0"/>
        <w:rPr>
          <w:rFonts w:ascii="Arial" w:hAnsi="Arial" w:cs="Arial"/>
          <w:sz w:val="22"/>
          <w:szCs w:val="22"/>
        </w:rPr>
      </w:pPr>
      <w:bookmarkStart w:id="33" w:name="point33"/>
      <w:r w:rsidRPr="002E087B">
        <w:rPr>
          <w:rFonts w:ascii="Arial" w:hAnsi="Arial" w:cs="Arial"/>
          <w:sz w:val="22"/>
          <w:szCs w:val="22"/>
        </w:rPr>
        <w:t>33</w:t>
      </w:r>
      <w:bookmarkEnd w:id="33"/>
      <w:r w:rsidRPr="002E087B">
        <w:rPr>
          <w:rFonts w:ascii="Arial" w:hAnsi="Arial" w:cs="Arial"/>
          <w:sz w:val="22"/>
          <w:szCs w:val="22"/>
        </w:rPr>
        <w:t xml:space="preserve"> Se é </w:t>
      </w:r>
      <w:proofErr w:type="spellStart"/>
      <w:r w:rsidRPr="002E087B">
        <w:rPr>
          <w:rFonts w:ascii="Arial" w:hAnsi="Arial" w:cs="Arial"/>
          <w:sz w:val="22"/>
          <w:szCs w:val="22"/>
        </w:rPr>
        <w:t>exacto</w:t>
      </w:r>
      <w:proofErr w:type="spellEnd"/>
      <w:r w:rsidRPr="002E087B">
        <w:rPr>
          <w:rFonts w:ascii="Arial" w:hAnsi="Arial" w:cs="Arial"/>
          <w:sz w:val="22"/>
          <w:szCs w:val="22"/>
        </w:rPr>
        <w:t xml:space="preserve"> que esta exigência de autonomia não exclui o direito dos operadores económicos de se adaptarem inteligentemente à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conhecida ou prevista dos seus concorrentes, opõe</w:t>
      </w:r>
      <w:r w:rsidRPr="002E087B">
        <w:rPr>
          <w:rFonts w:ascii="Arial" w:hAnsi="Arial" w:cs="Arial"/>
          <w:sz w:val="22"/>
          <w:szCs w:val="22"/>
        </w:rPr>
        <w:noBreakHyphen/>
        <w:t xml:space="preserve">se todavia rigorosamente a qualquer estabelecimento de contactos </w:t>
      </w:r>
      <w:proofErr w:type="spellStart"/>
      <w:r w:rsidRPr="002E087B">
        <w:rPr>
          <w:rFonts w:ascii="Arial" w:hAnsi="Arial" w:cs="Arial"/>
          <w:sz w:val="22"/>
          <w:szCs w:val="22"/>
        </w:rPr>
        <w:t>directos</w:t>
      </w:r>
      <w:proofErr w:type="spellEnd"/>
      <w:r w:rsidRPr="002E087B">
        <w:rPr>
          <w:rFonts w:ascii="Arial" w:hAnsi="Arial" w:cs="Arial"/>
          <w:sz w:val="22"/>
          <w:szCs w:val="22"/>
        </w:rPr>
        <w:t xml:space="preserve"> ou </w:t>
      </w:r>
      <w:proofErr w:type="spellStart"/>
      <w:r w:rsidRPr="002E087B">
        <w:rPr>
          <w:rFonts w:ascii="Arial" w:hAnsi="Arial" w:cs="Arial"/>
          <w:sz w:val="22"/>
          <w:szCs w:val="22"/>
        </w:rPr>
        <w:t>indirectos</w:t>
      </w:r>
      <w:proofErr w:type="spellEnd"/>
      <w:r w:rsidRPr="002E087B">
        <w:rPr>
          <w:rFonts w:ascii="Arial" w:hAnsi="Arial" w:cs="Arial"/>
          <w:sz w:val="22"/>
          <w:szCs w:val="22"/>
        </w:rPr>
        <w:t xml:space="preserve"> entre tais operadores, que possa quer influenciar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de um concorrente </w:t>
      </w:r>
      <w:proofErr w:type="spellStart"/>
      <w:r w:rsidRPr="002E087B">
        <w:rPr>
          <w:rFonts w:ascii="Arial" w:hAnsi="Arial" w:cs="Arial"/>
          <w:sz w:val="22"/>
          <w:szCs w:val="22"/>
        </w:rPr>
        <w:t>actual</w:t>
      </w:r>
      <w:proofErr w:type="spellEnd"/>
      <w:r w:rsidRPr="002E087B">
        <w:rPr>
          <w:rFonts w:ascii="Arial" w:hAnsi="Arial" w:cs="Arial"/>
          <w:sz w:val="22"/>
          <w:szCs w:val="22"/>
        </w:rPr>
        <w:t xml:space="preserve"> ou potencial, quer permitir a esse concorrente descobrir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que o outro ou os outros operadores decidiram </w:t>
      </w:r>
      <w:proofErr w:type="spellStart"/>
      <w:r w:rsidRPr="002E087B">
        <w:rPr>
          <w:rFonts w:ascii="Arial" w:hAnsi="Arial" w:cs="Arial"/>
          <w:sz w:val="22"/>
          <w:szCs w:val="22"/>
        </w:rPr>
        <w:t>adoptar</w:t>
      </w:r>
      <w:proofErr w:type="spellEnd"/>
      <w:r w:rsidRPr="002E087B">
        <w:rPr>
          <w:rFonts w:ascii="Arial" w:hAnsi="Arial" w:cs="Arial"/>
          <w:sz w:val="22"/>
          <w:szCs w:val="22"/>
        </w:rPr>
        <w:t xml:space="preserve"> ou planeiam </w:t>
      </w:r>
      <w:proofErr w:type="spellStart"/>
      <w:r w:rsidRPr="002E087B">
        <w:rPr>
          <w:rFonts w:ascii="Arial" w:hAnsi="Arial" w:cs="Arial"/>
          <w:sz w:val="22"/>
          <w:szCs w:val="22"/>
        </w:rPr>
        <w:t>adoptar</w:t>
      </w:r>
      <w:proofErr w:type="spellEnd"/>
      <w:r w:rsidRPr="002E087B">
        <w:rPr>
          <w:rFonts w:ascii="Arial" w:hAnsi="Arial" w:cs="Arial"/>
          <w:sz w:val="22"/>
          <w:szCs w:val="22"/>
        </w:rPr>
        <w:t xml:space="preserve"> nesse mercado, quando esses contactos tenham por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ou efeito originar condições de concorrência que não correspondam às condições normais do mercado em causa, atendendo à natureza dos produtos ou das prestações fornecidas, à importância e ao número das empresas e ao volume do referido mercado (v., neste sentido, acórdãos, já referidos, </w:t>
      </w:r>
      <w:proofErr w:type="spellStart"/>
      <w:r w:rsidRPr="002E087B">
        <w:rPr>
          <w:rFonts w:ascii="Arial" w:hAnsi="Arial" w:cs="Arial"/>
          <w:sz w:val="22"/>
          <w:szCs w:val="22"/>
        </w:rPr>
        <w:t>Suiker</w:t>
      </w:r>
      <w:proofErr w:type="spellEnd"/>
      <w:r w:rsidRPr="002E087B">
        <w:rPr>
          <w:rFonts w:ascii="Arial" w:hAnsi="Arial" w:cs="Arial"/>
          <w:sz w:val="22"/>
          <w:szCs w:val="22"/>
        </w:rPr>
        <w:t xml:space="preserve"> </w:t>
      </w:r>
      <w:proofErr w:type="spellStart"/>
      <w:r w:rsidRPr="002E087B">
        <w:rPr>
          <w:rFonts w:ascii="Arial" w:hAnsi="Arial" w:cs="Arial"/>
          <w:sz w:val="22"/>
          <w:szCs w:val="22"/>
        </w:rPr>
        <w:t>Unie</w:t>
      </w:r>
      <w:proofErr w:type="spellEnd"/>
      <w:r w:rsidRPr="002E087B">
        <w:rPr>
          <w:rFonts w:ascii="Arial" w:hAnsi="Arial" w:cs="Arial"/>
          <w:sz w:val="22"/>
          <w:szCs w:val="22"/>
        </w:rPr>
        <w:t xml:space="preserve"> e o./Comissão, </w:t>
      </w:r>
      <w:proofErr w:type="spellStart"/>
      <w:r w:rsidRPr="002E087B">
        <w:rPr>
          <w:rFonts w:ascii="Arial" w:hAnsi="Arial" w:cs="Arial"/>
          <w:sz w:val="22"/>
          <w:szCs w:val="22"/>
        </w:rPr>
        <w:t>n.°</w:t>
      </w:r>
      <w:proofErr w:type="spellEnd"/>
      <w:r w:rsidRPr="002E087B">
        <w:rPr>
          <w:rFonts w:ascii="Arial" w:hAnsi="Arial" w:cs="Arial"/>
          <w:sz w:val="22"/>
          <w:szCs w:val="22"/>
        </w:rPr>
        <w:t xml:space="preserve"> 174; </w:t>
      </w:r>
      <w:proofErr w:type="spellStart"/>
      <w:r w:rsidRPr="002E087B">
        <w:rPr>
          <w:rFonts w:ascii="Arial" w:hAnsi="Arial" w:cs="Arial"/>
          <w:sz w:val="22"/>
          <w:szCs w:val="22"/>
        </w:rPr>
        <w:t>Züchner</w:t>
      </w:r>
      <w:proofErr w:type="spellEnd"/>
      <w:r w:rsidRPr="002E087B">
        <w:rPr>
          <w:rFonts w:ascii="Arial" w:hAnsi="Arial" w:cs="Arial"/>
          <w:sz w:val="22"/>
          <w:szCs w:val="22"/>
        </w:rPr>
        <w:t xml:space="preserve">, </w:t>
      </w:r>
      <w:proofErr w:type="spellStart"/>
      <w:r w:rsidRPr="002E087B">
        <w:rPr>
          <w:rFonts w:ascii="Arial" w:hAnsi="Arial" w:cs="Arial"/>
          <w:sz w:val="22"/>
          <w:szCs w:val="22"/>
        </w:rPr>
        <w:t>n.°</w:t>
      </w:r>
      <w:proofErr w:type="spellEnd"/>
      <w:r w:rsidRPr="002E087B">
        <w:rPr>
          <w:rFonts w:ascii="Arial" w:hAnsi="Arial" w:cs="Arial"/>
          <w:sz w:val="22"/>
          <w:szCs w:val="22"/>
        </w:rPr>
        <w:t xml:space="preserve"> 14, e </w:t>
      </w:r>
      <w:proofErr w:type="spellStart"/>
      <w:r w:rsidRPr="002E087B">
        <w:rPr>
          <w:rFonts w:ascii="Arial" w:hAnsi="Arial" w:cs="Arial"/>
          <w:sz w:val="22"/>
          <w:szCs w:val="22"/>
        </w:rPr>
        <w:t>Deere</w:t>
      </w:r>
      <w:proofErr w:type="spellEnd"/>
      <w:r w:rsidRPr="002E087B">
        <w:rPr>
          <w:rFonts w:ascii="Arial" w:hAnsi="Arial" w:cs="Arial"/>
          <w:sz w:val="22"/>
          <w:szCs w:val="22"/>
        </w:rPr>
        <w:t xml:space="preserve">/Comissão, </w:t>
      </w:r>
      <w:proofErr w:type="spellStart"/>
      <w:r w:rsidRPr="002E087B">
        <w:rPr>
          <w:rFonts w:ascii="Arial" w:hAnsi="Arial" w:cs="Arial"/>
          <w:sz w:val="22"/>
          <w:szCs w:val="22"/>
        </w:rPr>
        <w:t>n.°</w:t>
      </w:r>
      <w:proofErr w:type="spellEnd"/>
      <w:r w:rsidRPr="002E087B">
        <w:rPr>
          <w:rFonts w:ascii="Arial" w:hAnsi="Arial" w:cs="Arial"/>
          <w:sz w:val="22"/>
          <w:szCs w:val="22"/>
        </w:rPr>
        <w:t xml:space="preserve"> 87).</w:t>
      </w:r>
    </w:p>
    <w:p w:rsidR="00D80FE6" w:rsidRPr="002E087B" w:rsidRDefault="00D80FE6" w:rsidP="002E087B">
      <w:pPr>
        <w:pStyle w:val="c01pointnumerotealtn"/>
        <w:spacing w:line="276" w:lineRule="auto"/>
        <w:ind w:left="0"/>
        <w:rPr>
          <w:rFonts w:ascii="Arial" w:hAnsi="Arial" w:cs="Arial"/>
          <w:sz w:val="22"/>
          <w:szCs w:val="22"/>
        </w:rPr>
      </w:pPr>
      <w:bookmarkStart w:id="34" w:name="point34"/>
      <w:r w:rsidRPr="002E087B">
        <w:rPr>
          <w:rFonts w:ascii="Arial" w:hAnsi="Arial" w:cs="Arial"/>
          <w:sz w:val="22"/>
          <w:szCs w:val="22"/>
        </w:rPr>
        <w:t>34</w:t>
      </w:r>
      <w:bookmarkEnd w:id="34"/>
      <w:r w:rsidRPr="002E087B">
        <w:rPr>
          <w:rFonts w:ascii="Arial" w:hAnsi="Arial" w:cs="Arial"/>
          <w:sz w:val="22"/>
          <w:szCs w:val="22"/>
        </w:rPr>
        <w:t xml:space="preserve"> Nos </w:t>
      </w:r>
      <w:proofErr w:type="spellStart"/>
      <w:r w:rsidRPr="002E087B">
        <w:rPr>
          <w:rFonts w:ascii="Arial" w:hAnsi="Arial" w:cs="Arial"/>
          <w:sz w:val="22"/>
          <w:szCs w:val="22"/>
        </w:rPr>
        <w:t>n.</w:t>
      </w:r>
      <w:r w:rsidRPr="002E087B">
        <w:rPr>
          <w:rFonts w:ascii="Arial" w:hAnsi="Arial" w:cs="Arial"/>
          <w:sz w:val="22"/>
          <w:szCs w:val="22"/>
          <w:vertAlign w:val="superscript"/>
        </w:rPr>
        <w:t>os</w:t>
      </w:r>
      <w:proofErr w:type="spellEnd"/>
      <w:r w:rsidRPr="002E087B">
        <w:rPr>
          <w:rFonts w:ascii="Arial" w:hAnsi="Arial" w:cs="Arial"/>
          <w:sz w:val="22"/>
          <w:szCs w:val="22"/>
        </w:rPr>
        <w:t xml:space="preserve"> 88 e seguintes do acórdão </w:t>
      </w:r>
      <w:proofErr w:type="spellStart"/>
      <w:r w:rsidRPr="002E087B">
        <w:rPr>
          <w:rFonts w:ascii="Arial" w:hAnsi="Arial" w:cs="Arial"/>
          <w:sz w:val="22"/>
          <w:szCs w:val="22"/>
        </w:rPr>
        <w:t>Deere</w:t>
      </w:r>
      <w:proofErr w:type="spellEnd"/>
      <w:r w:rsidRPr="002E087B">
        <w:rPr>
          <w:rFonts w:ascii="Arial" w:hAnsi="Arial" w:cs="Arial"/>
          <w:sz w:val="22"/>
          <w:szCs w:val="22"/>
        </w:rPr>
        <w:t xml:space="preserve">/Comissão, já referido, o Tribunal de Justiça declarou, assim, que, num mercado </w:t>
      </w:r>
      <w:proofErr w:type="spellStart"/>
      <w:r w:rsidRPr="002E087B">
        <w:rPr>
          <w:rFonts w:ascii="Arial" w:hAnsi="Arial" w:cs="Arial"/>
          <w:sz w:val="22"/>
          <w:szCs w:val="22"/>
        </w:rPr>
        <w:t>oligopolístico</w:t>
      </w:r>
      <w:proofErr w:type="spellEnd"/>
      <w:r w:rsidRPr="002E087B">
        <w:rPr>
          <w:rFonts w:ascii="Arial" w:hAnsi="Arial" w:cs="Arial"/>
          <w:sz w:val="22"/>
          <w:szCs w:val="22"/>
        </w:rPr>
        <w:t xml:space="preserve"> fortemente concentrado como o mercado em causa no processo principal, a troca de informações é </w:t>
      </w:r>
      <w:proofErr w:type="spellStart"/>
      <w:r w:rsidRPr="002E087B">
        <w:rPr>
          <w:rFonts w:ascii="Arial" w:hAnsi="Arial" w:cs="Arial"/>
          <w:sz w:val="22"/>
          <w:szCs w:val="22"/>
        </w:rPr>
        <w:t>susceptível</w:t>
      </w:r>
      <w:proofErr w:type="spellEnd"/>
      <w:r w:rsidRPr="002E087B">
        <w:rPr>
          <w:rFonts w:ascii="Arial" w:hAnsi="Arial" w:cs="Arial"/>
          <w:sz w:val="22"/>
          <w:szCs w:val="22"/>
        </w:rPr>
        <w:t xml:space="preserve"> de permitir às empresas conhecer as posições no mercado e a estratégia comercial dos seus concorrentes e, deste modo, de alterar sensivelmente a concorrência que existe entre os operadores económicos.</w:t>
      </w:r>
    </w:p>
    <w:p w:rsidR="00D80FE6" w:rsidRPr="002E087B" w:rsidRDefault="00D80FE6" w:rsidP="002E087B">
      <w:pPr>
        <w:pStyle w:val="c01pointnumerotealtn"/>
        <w:spacing w:line="276" w:lineRule="auto"/>
        <w:ind w:left="0"/>
        <w:rPr>
          <w:rFonts w:ascii="Arial" w:hAnsi="Arial" w:cs="Arial"/>
          <w:sz w:val="22"/>
          <w:szCs w:val="22"/>
        </w:rPr>
      </w:pPr>
      <w:bookmarkStart w:id="35" w:name="point35"/>
      <w:r w:rsidRPr="002E087B">
        <w:rPr>
          <w:rFonts w:ascii="Arial" w:hAnsi="Arial" w:cs="Arial"/>
          <w:sz w:val="22"/>
          <w:szCs w:val="22"/>
        </w:rPr>
        <w:t>35</w:t>
      </w:r>
      <w:bookmarkEnd w:id="35"/>
      <w:r w:rsidRPr="002E087B">
        <w:rPr>
          <w:rFonts w:ascii="Arial" w:hAnsi="Arial" w:cs="Arial"/>
          <w:sz w:val="22"/>
          <w:szCs w:val="22"/>
        </w:rPr>
        <w:t xml:space="preserve"> Daqui decorre que a troca de informações entre concorrentes é </w:t>
      </w:r>
      <w:proofErr w:type="spellStart"/>
      <w:r w:rsidRPr="002E087B">
        <w:rPr>
          <w:rFonts w:ascii="Arial" w:hAnsi="Arial" w:cs="Arial"/>
          <w:sz w:val="22"/>
          <w:szCs w:val="22"/>
        </w:rPr>
        <w:t>susceptível</w:t>
      </w:r>
      <w:proofErr w:type="spellEnd"/>
      <w:r w:rsidRPr="002E087B">
        <w:rPr>
          <w:rFonts w:ascii="Arial" w:hAnsi="Arial" w:cs="Arial"/>
          <w:sz w:val="22"/>
          <w:szCs w:val="22"/>
        </w:rPr>
        <w:t xml:space="preserve"> de infringir as regras da concorrência quando atenua ou suprime o grau de incerteza quanto ao funcionamento do mercado em causa, tendo por consequência a restrição da concorrência entre empresas (v. acórdãos </w:t>
      </w:r>
      <w:proofErr w:type="spellStart"/>
      <w:r w:rsidRPr="002E087B">
        <w:rPr>
          <w:rFonts w:ascii="Arial" w:hAnsi="Arial" w:cs="Arial"/>
          <w:sz w:val="22"/>
          <w:szCs w:val="22"/>
        </w:rPr>
        <w:t>Deere</w:t>
      </w:r>
      <w:proofErr w:type="spellEnd"/>
      <w:r w:rsidRPr="002E087B">
        <w:rPr>
          <w:rFonts w:ascii="Arial" w:hAnsi="Arial" w:cs="Arial"/>
          <w:sz w:val="22"/>
          <w:szCs w:val="22"/>
        </w:rPr>
        <w:t xml:space="preserve">/Comissão, já referido, </w:t>
      </w:r>
      <w:proofErr w:type="spellStart"/>
      <w:r w:rsidRPr="002E087B">
        <w:rPr>
          <w:rFonts w:ascii="Arial" w:hAnsi="Arial" w:cs="Arial"/>
          <w:sz w:val="22"/>
          <w:szCs w:val="22"/>
        </w:rPr>
        <w:t>n.°</w:t>
      </w:r>
      <w:proofErr w:type="spellEnd"/>
      <w:r w:rsidRPr="002E087B">
        <w:rPr>
          <w:rFonts w:ascii="Arial" w:hAnsi="Arial" w:cs="Arial"/>
          <w:sz w:val="22"/>
          <w:szCs w:val="22"/>
        </w:rPr>
        <w:t xml:space="preserve"> 90, e de 2 de Outubro de 2003, </w:t>
      </w:r>
      <w:proofErr w:type="spellStart"/>
      <w:r w:rsidRPr="002E087B">
        <w:rPr>
          <w:rFonts w:ascii="Arial" w:hAnsi="Arial" w:cs="Arial"/>
          <w:sz w:val="22"/>
          <w:szCs w:val="22"/>
        </w:rPr>
        <w:t>Thyssen</w:t>
      </w:r>
      <w:proofErr w:type="spellEnd"/>
      <w:r w:rsidRPr="002E087B">
        <w:rPr>
          <w:rFonts w:ascii="Arial" w:hAnsi="Arial" w:cs="Arial"/>
          <w:sz w:val="22"/>
          <w:szCs w:val="22"/>
        </w:rPr>
        <w:t xml:space="preserve"> </w:t>
      </w:r>
      <w:proofErr w:type="spellStart"/>
      <w:r w:rsidRPr="002E087B">
        <w:rPr>
          <w:rFonts w:ascii="Arial" w:hAnsi="Arial" w:cs="Arial"/>
          <w:sz w:val="22"/>
          <w:szCs w:val="22"/>
        </w:rPr>
        <w:t>Stahl</w:t>
      </w:r>
      <w:proofErr w:type="spellEnd"/>
      <w:r w:rsidRPr="002E087B">
        <w:rPr>
          <w:rFonts w:ascii="Arial" w:hAnsi="Arial" w:cs="Arial"/>
          <w:sz w:val="22"/>
          <w:szCs w:val="22"/>
        </w:rPr>
        <w:t>/Comissão, C</w:t>
      </w:r>
      <w:r w:rsidRPr="002E087B">
        <w:rPr>
          <w:rFonts w:ascii="Arial" w:hAnsi="Arial" w:cs="Arial"/>
          <w:sz w:val="22"/>
          <w:szCs w:val="22"/>
        </w:rPr>
        <w:noBreakHyphen/>
        <w:t xml:space="preserve">194/99 P, </w:t>
      </w:r>
      <w:proofErr w:type="spellStart"/>
      <w:r w:rsidRPr="002E087B">
        <w:rPr>
          <w:rFonts w:ascii="Arial" w:hAnsi="Arial" w:cs="Arial"/>
          <w:sz w:val="22"/>
          <w:szCs w:val="22"/>
        </w:rPr>
        <w:t>Colect</w:t>
      </w:r>
      <w:proofErr w:type="spellEnd"/>
      <w:r w:rsidRPr="002E087B">
        <w:rPr>
          <w:rFonts w:ascii="Arial" w:hAnsi="Arial" w:cs="Arial"/>
          <w:sz w:val="22"/>
          <w:szCs w:val="22"/>
        </w:rPr>
        <w:t>., p. I</w:t>
      </w:r>
      <w:r w:rsidRPr="002E087B">
        <w:rPr>
          <w:rFonts w:ascii="Arial" w:hAnsi="Arial" w:cs="Arial"/>
          <w:sz w:val="22"/>
          <w:szCs w:val="22"/>
        </w:rPr>
        <w:noBreakHyphen/>
        <w:t xml:space="preserve">10821, </w:t>
      </w:r>
      <w:proofErr w:type="spellStart"/>
      <w:r w:rsidRPr="002E087B">
        <w:rPr>
          <w:rFonts w:ascii="Arial" w:hAnsi="Arial" w:cs="Arial"/>
          <w:sz w:val="22"/>
          <w:szCs w:val="22"/>
        </w:rPr>
        <w:t>n.°</w:t>
      </w:r>
      <w:proofErr w:type="spellEnd"/>
      <w:r w:rsidRPr="002E087B">
        <w:rPr>
          <w:rFonts w:ascii="Arial" w:hAnsi="Arial" w:cs="Arial"/>
          <w:sz w:val="22"/>
          <w:szCs w:val="22"/>
        </w:rPr>
        <w:t xml:space="preserve"> 81).</w:t>
      </w:r>
    </w:p>
    <w:p w:rsidR="00D80FE6" w:rsidRPr="002E087B" w:rsidRDefault="00D80FE6" w:rsidP="002E087B">
      <w:pPr>
        <w:pStyle w:val="c01pointnumerotealtn"/>
        <w:spacing w:line="276" w:lineRule="auto"/>
        <w:ind w:left="0"/>
        <w:rPr>
          <w:rFonts w:ascii="Arial" w:hAnsi="Arial" w:cs="Arial"/>
          <w:sz w:val="22"/>
          <w:szCs w:val="22"/>
        </w:rPr>
      </w:pPr>
      <w:bookmarkStart w:id="36" w:name="point36"/>
      <w:r w:rsidRPr="002E087B">
        <w:rPr>
          <w:rFonts w:ascii="Arial" w:hAnsi="Arial" w:cs="Arial"/>
          <w:sz w:val="22"/>
          <w:szCs w:val="22"/>
        </w:rPr>
        <w:t>36</w:t>
      </w:r>
      <w:bookmarkEnd w:id="36"/>
      <w:r w:rsidRPr="002E087B">
        <w:rPr>
          <w:rFonts w:ascii="Arial" w:hAnsi="Arial" w:cs="Arial"/>
          <w:sz w:val="22"/>
          <w:szCs w:val="22"/>
        </w:rPr>
        <w:t xml:space="preserve"> Em terceiro lugar, no que diz respeito à possibilidade de considerar que uma prática concertada tem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apesar de não estar </w:t>
      </w:r>
      <w:proofErr w:type="spellStart"/>
      <w:r w:rsidRPr="002E087B">
        <w:rPr>
          <w:rFonts w:ascii="Arial" w:hAnsi="Arial" w:cs="Arial"/>
          <w:sz w:val="22"/>
          <w:szCs w:val="22"/>
        </w:rPr>
        <w:t>directamente</w:t>
      </w:r>
      <w:proofErr w:type="spellEnd"/>
      <w:r w:rsidRPr="002E087B">
        <w:rPr>
          <w:rFonts w:ascii="Arial" w:hAnsi="Arial" w:cs="Arial"/>
          <w:sz w:val="22"/>
          <w:szCs w:val="22"/>
        </w:rPr>
        <w:t xml:space="preserve"> </w:t>
      </w:r>
      <w:r w:rsidRPr="002E087B">
        <w:rPr>
          <w:rFonts w:ascii="Arial" w:hAnsi="Arial" w:cs="Arial"/>
          <w:sz w:val="22"/>
          <w:szCs w:val="22"/>
        </w:rPr>
        <w:lastRenderedPageBreak/>
        <w:t>ligada aos preços finais de venda ao consumidor, refira</w:t>
      </w:r>
      <w:r w:rsidRPr="002E087B">
        <w:rPr>
          <w:rFonts w:ascii="Arial" w:hAnsi="Arial" w:cs="Arial"/>
          <w:sz w:val="22"/>
          <w:szCs w:val="22"/>
        </w:rPr>
        <w:noBreakHyphen/>
        <w:t xml:space="preserve">se que a </w:t>
      </w:r>
      <w:proofErr w:type="spellStart"/>
      <w:r w:rsidRPr="002E087B">
        <w:rPr>
          <w:rFonts w:ascii="Arial" w:hAnsi="Arial" w:cs="Arial"/>
          <w:sz w:val="22"/>
          <w:szCs w:val="22"/>
        </w:rPr>
        <w:t>redacção</w:t>
      </w:r>
      <w:proofErr w:type="spellEnd"/>
      <w:r w:rsidRPr="002E087B">
        <w:rPr>
          <w:rFonts w:ascii="Arial" w:hAnsi="Arial" w:cs="Arial"/>
          <w:sz w:val="22"/>
          <w:szCs w:val="22"/>
        </w:rPr>
        <w:t xml:space="preserv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não permite que se considere que só são proibidas as práticas concertadas que tenham um efeito </w:t>
      </w:r>
      <w:proofErr w:type="spellStart"/>
      <w:r w:rsidRPr="002E087B">
        <w:rPr>
          <w:rFonts w:ascii="Arial" w:hAnsi="Arial" w:cs="Arial"/>
          <w:sz w:val="22"/>
          <w:szCs w:val="22"/>
        </w:rPr>
        <w:t>directo</w:t>
      </w:r>
      <w:proofErr w:type="spellEnd"/>
      <w:r w:rsidRPr="002E087B">
        <w:rPr>
          <w:rFonts w:ascii="Arial" w:hAnsi="Arial" w:cs="Arial"/>
          <w:sz w:val="22"/>
          <w:szCs w:val="22"/>
        </w:rPr>
        <w:t xml:space="preserve"> sobre o preço pago pelos consumidores finais.</w:t>
      </w:r>
    </w:p>
    <w:p w:rsidR="00D80FE6" w:rsidRPr="002E087B" w:rsidRDefault="00D80FE6" w:rsidP="002E087B">
      <w:pPr>
        <w:pStyle w:val="c01pointnumerotealtn"/>
        <w:spacing w:line="276" w:lineRule="auto"/>
        <w:ind w:left="0"/>
        <w:rPr>
          <w:rFonts w:ascii="Arial" w:hAnsi="Arial" w:cs="Arial"/>
          <w:sz w:val="22"/>
          <w:szCs w:val="22"/>
        </w:rPr>
      </w:pPr>
      <w:bookmarkStart w:id="37" w:name="point37"/>
      <w:r w:rsidRPr="002E087B">
        <w:rPr>
          <w:rFonts w:ascii="Arial" w:hAnsi="Arial" w:cs="Arial"/>
          <w:sz w:val="22"/>
          <w:szCs w:val="22"/>
        </w:rPr>
        <w:t>37</w:t>
      </w:r>
      <w:bookmarkEnd w:id="37"/>
      <w:r w:rsidRPr="002E087B">
        <w:rPr>
          <w:rFonts w:ascii="Arial" w:hAnsi="Arial" w:cs="Arial"/>
          <w:sz w:val="22"/>
          <w:szCs w:val="22"/>
        </w:rPr>
        <w:t xml:space="preserve"> Pelo contrário, resulta do referido artigo 81, </w:t>
      </w:r>
      <w:proofErr w:type="spellStart"/>
      <w:r w:rsidRPr="002E087B">
        <w:rPr>
          <w:rFonts w:ascii="Arial" w:hAnsi="Arial" w:cs="Arial"/>
          <w:sz w:val="22"/>
          <w:szCs w:val="22"/>
        </w:rPr>
        <w:t>n.°</w:t>
      </w:r>
      <w:proofErr w:type="spellEnd"/>
      <w:r w:rsidRPr="002E087B">
        <w:rPr>
          <w:rFonts w:ascii="Arial" w:hAnsi="Arial" w:cs="Arial"/>
          <w:sz w:val="22"/>
          <w:szCs w:val="22"/>
        </w:rPr>
        <w:t xml:space="preserve"> 1, alínea a), CE que uma prática concertada pode ter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se consistir em «fixar, de forma </w:t>
      </w:r>
      <w:proofErr w:type="spellStart"/>
      <w:r w:rsidRPr="002E087B">
        <w:rPr>
          <w:rFonts w:ascii="Arial" w:hAnsi="Arial" w:cs="Arial"/>
          <w:sz w:val="22"/>
          <w:szCs w:val="22"/>
        </w:rPr>
        <w:t>directa</w:t>
      </w:r>
      <w:proofErr w:type="spellEnd"/>
      <w:r w:rsidRPr="002E087B">
        <w:rPr>
          <w:rFonts w:ascii="Arial" w:hAnsi="Arial" w:cs="Arial"/>
          <w:sz w:val="22"/>
          <w:szCs w:val="22"/>
        </w:rPr>
        <w:t xml:space="preserve"> ou </w:t>
      </w:r>
      <w:proofErr w:type="spellStart"/>
      <w:r w:rsidRPr="002E087B">
        <w:rPr>
          <w:rFonts w:ascii="Arial" w:hAnsi="Arial" w:cs="Arial"/>
          <w:sz w:val="22"/>
          <w:szCs w:val="22"/>
        </w:rPr>
        <w:t>indirecta</w:t>
      </w:r>
      <w:proofErr w:type="spellEnd"/>
      <w:r w:rsidRPr="002E087B">
        <w:rPr>
          <w:rFonts w:ascii="Arial" w:hAnsi="Arial" w:cs="Arial"/>
          <w:sz w:val="22"/>
          <w:szCs w:val="22"/>
        </w:rPr>
        <w:t xml:space="preserve">, os preços de compra ou de venda ou outras condições de </w:t>
      </w:r>
      <w:proofErr w:type="spellStart"/>
      <w:r w:rsidRPr="002E087B">
        <w:rPr>
          <w:rFonts w:ascii="Arial" w:hAnsi="Arial" w:cs="Arial"/>
          <w:sz w:val="22"/>
          <w:szCs w:val="22"/>
        </w:rPr>
        <w:t>transacção</w:t>
      </w:r>
      <w:proofErr w:type="spellEnd"/>
      <w:r w:rsidRPr="002E087B">
        <w:rPr>
          <w:rFonts w:ascii="Arial" w:hAnsi="Arial" w:cs="Arial"/>
          <w:sz w:val="22"/>
          <w:szCs w:val="22"/>
        </w:rPr>
        <w:t>». No processo principal, como alega o Governo neerlandês nas suas observações escritas, verifica</w:t>
      </w:r>
      <w:r w:rsidRPr="002E087B">
        <w:rPr>
          <w:rFonts w:ascii="Arial" w:hAnsi="Arial" w:cs="Arial"/>
          <w:sz w:val="22"/>
          <w:szCs w:val="22"/>
        </w:rPr>
        <w:noBreakHyphen/>
        <w:t>se que, para as assinaturas com pós</w:t>
      </w:r>
      <w:r w:rsidRPr="002E087B">
        <w:rPr>
          <w:rFonts w:ascii="Arial" w:hAnsi="Arial" w:cs="Arial"/>
          <w:sz w:val="22"/>
          <w:szCs w:val="22"/>
        </w:rPr>
        <w:noBreakHyphen/>
        <w:t>pagamento, as remunerações dos revendedores são elementos determinantes na fixação do preço que o consumidor final virá a pagar.</w:t>
      </w:r>
    </w:p>
    <w:p w:rsidR="00D80FE6" w:rsidRPr="002E087B" w:rsidRDefault="00D80FE6" w:rsidP="002E087B">
      <w:pPr>
        <w:pStyle w:val="c01pointnumerotealtn"/>
        <w:spacing w:line="276" w:lineRule="auto"/>
        <w:ind w:left="0"/>
        <w:rPr>
          <w:rFonts w:ascii="Arial" w:hAnsi="Arial" w:cs="Arial"/>
          <w:sz w:val="22"/>
          <w:szCs w:val="22"/>
        </w:rPr>
      </w:pPr>
      <w:bookmarkStart w:id="38" w:name="point38"/>
      <w:r w:rsidRPr="002E087B">
        <w:rPr>
          <w:rFonts w:ascii="Arial" w:hAnsi="Arial" w:cs="Arial"/>
          <w:sz w:val="22"/>
          <w:szCs w:val="22"/>
        </w:rPr>
        <w:t>38</w:t>
      </w:r>
      <w:bookmarkEnd w:id="38"/>
      <w:r w:rsidRPr="002E087B">
        <w:rPr>
          <w:rFonts w:ascii="Arial" w:hAnsi="Arial" w:cs="Arial"/>
          <w:sz w:val="22"/>
          <w:szCs w:val="22"/>
        </w:rPr>
        <w:t xml:space="preserve"> Em todo o caso, como referiu a advogada</w:t>
      </w:r>
      <w:r w:rsidRPr="002E087B">
        <w:rPr>
          <w:rFonts w:ascii="Arial" w:hAnsi="Arial" w:cs="Arial"/>
          <w:sz w:val="22"/>
          <w:szCs w:val="22"/>
        </w:rPr>
        <w:noBreakHyphen/>
        <w:t xml:space="preserve">geral no </w:t>
      </w:r>
      <w:proofErr w:type="spellStart"/>
      <w:r w:rsidRPr="002E087B">
        <w:rPr>
          <w:rFonts w:ascii="Arial" w:hAnsi="Arial" w:cs="Arial"/>
          <w:sz w:val="22"/>
          <w:szCs w:val="22"/>
        </w:rPr>
        <w:t>n.°</w:t>
      </w:r>
      <w:proofErr w:type="spellEnd"/>
      <w:r w:rsidRPr="002E087B">
        <w:rPr>
          <w:rFonts w:ascii="Arial" w:hAnsi="Arial" w:cs="Arial"/>
          <w:sz w:val="22"/>
          <w:szCs w:val="22"/>
        </w:rPr>
        <w:t xml:space="preserve"> 58 </w:t>
      </w:r>
      <w:proofErr w:type="gramStart"/>
      <w:r w:rsidRPr="002E087B">
        <w:rPr>
          <w:rFonts w:ascii="Arial" w:hAnsi="Arial" w:cs="Arial"/>
          <w:sz w:val="22"/>
          <w:szCs w:val="22"/>
        </w:rPr>
        <w:t>das</w:t>
      </w:r>
      <w:proofErr w:type="gramEnd"/>
      <w:r w:rsidRPr="002E087B">
        <w:rPr>
          <w:rFonts w:ascii="Arial" w:hAnsi="Arial" w:cs="Arial"/>
          <w:sz w:val="22"/>
          <w:szCs w:val="22"/>
        </w:rPr>
        <w:t xml:space="preserve"> suas conclusões, o artigo 81.° CE, à semelhança das outras regras da concorrência enunciadas no Tratado, não se destina unicamente a proteger os interesses </w:t>
      </w:r>
      <w:proofErr w:type="spellStart"/>
      <w:r w:rsidRPr="002E087B">
        <w:rPr>
          <w:rFonts w:ascii="Arial" w:hAnsi="Arial" w:cs="Arial"/>
          <w:sz w:val="22"/>
          <w:szCs w:val="22"/>
        </w:rPr>
        <w:t>directos</w:t>
      </w:r>
      <w:proofErr w:type="spellEnd"/>
      <w:r w:rsidRPr="002E087B">
        <w:rPr>
          <w:rFonts w:ascii="Arial" w:hAnsi="Arial" w:cs="Arial"/>
          <w:sz w:val="22"/>
          <w:szCs w:val="22"/>
        </w:rPr>
        <w:t xml:space="preserve"> dos concorrentes ou dos consumidores mas a estrutura do mercado e, deste modo, a concorrência enquanto tal.</w:t>
      </w:r>
    </w:p>
    <w:p w:rsidR="00D80FE6" w:rsidRPr="002E087B" w:rsidRDefault="00D80FE6" w:rsidP="002E087B">
      <w:pPr>
        <w:pStyle w:val="c01pointnumerotealtn"/>
        <w:spacing w:line="276" w:lineRule="auto"/>
        <w:ind w:left="0"/>
        <w:rPr>
          <w:rFonts w:ascii="Arial" w:hAnsi="Arial" w:cs="Arial"/>
          <w:sz w:val="22"/>
          <w:szCs w:val="22"/>
        </w:rPr>
      </w:pPr>
      <w:bookmarkStart w:id="39" w:name="point39"/>
      <w:r w:rsidRPr="002E087B">
        <w:rPr>
          <w:rFonts w:ascii="Arial" w:hAnsi="Arial" w:cs="Arial"/>
          <w:sz w:val="22"/>
          <w:szCs w:val="22"/>
        </w:rPr>
        <w:t>39</w:t>
      </w:r>
      <w:bookmarkEnd w:id="39"/>
      <w:r w:rsidRPr="002E087B">
        <w:rPr>
          <w:rFonts w:ascii="Arial" w:hAnsi="Arial" w:cs="Arial"/>
          <w:sz w:val="22"/>
          <w:szCs w:val="22"/>
        </w:rPr>
        <w:t xml:space="preserve"> Por conseguinte, ao contrário do que parece considerar o órgão jurisdicional de reenvio, a declaração de que uma prática concertada tem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não pode depender do facto de esta estar </w:t>
      </w:r>
      <w:proofErr w:type="spellStart"/>
      <w:r w:rsidRPr="002E087B">
        <w:rPr>
          <w:rFonts w:ascii="Arial" w:hAnsi="Arial" w:cs="Arial"/>
          <w:sz w:val="22"/>
          <w:szCs w:val="22"/>
        </w:rPr>
        <w:t>directamente</w:t>
      </w:r>
      <w:proofErr w:type="spellEnd"/>
      <w:r w:rsidRPr="002E087B">
        <w:rPr>
          <w:rFonts w:ascii="Arial" w:hAnsi="Arial" w:cs="Arial"/>
          <w:sz w:val="22"/>
          <w:szCs w:val="22"/>
        </w:rPr>
        <w:t xml:space="preserve"> ligada aos preços finais de venda ao consumidor.</w:t>
      </w:r>
    </w:p>
    <w:p w:rsidR="00D80FE6" w:rsidRPr="002E087B" w:rsidRDefault="00D80FE6" w:rsidP="002E087B">
      <w:pPr>
        <w:pStyle w:val="c01pointnumerotealtn"/>
        <w:spacing w:line="276" w:lineRule="auto"/>
        <w:ind w:left="0"/>
        <w:rPr>
          <w:rFonts w:ascii="Arial" w:hAnsi="Arial" w:cs="Arial"/>
          <w:sz w:val="22"/>
          <w:szCs w:val="22"/>
        </w:rPr>
      </w:pPr>
      <w:bookmarkStart w:id="40" w:name="point40"/>
      <w:r w:rsidRPr="002E087B">
        <w:rPr>
          <w:rFonts w:ascii="Arial" w:hAnsi="Arial" w:cs="Arial"/>
          <w:sz w:val="22"/>
          <w:szCs w:val="22"/>
        </w:rPr>
        <w:t>40</w:t>
      </w:r>
      <w:bookmarkEnd w:id="40"/>
      <w:r w:rsidRPr="002E087B">
        <w:rPr>
          <w:rFonts w:ascii="Arial" w:hAnsi="Arial" w:cs="Arial"/>
          <w:sz w:val="22"/>
          <w:szCs w:val="22"/>
        </w:rPr>
        <w:t xml:space="preserve"> Em quarto lugar, no que diz respeito ao argumento da Vodafone segundo o qual a prática concertada em causa no processo principal não tem por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restringir a concorrência uma vez que as remunerações </w:t>
      </w:r>
      <w:proofErr w:type="gramStart"/>
      <w:r w:rsidRPr="002E087B">
        <w:rPr>
          <w:rFonts w:ascii="Arial" w:hAnsi="Arial" w:cs="Arial"/>
          <w:i/>
          <w:iCs/>
          <w:sz w:val="22"/>
          <w:szCs w:val="22"/>
        </w:rPr>
        <w:t>standard</w:t>
      </w:r>
      <w:proofErr w:type="gramEnd"/>
      <w:r w:rsidRPr="002E087B">
        <w:rPr>
          <w:rFonts w:ascii="Arial" w:hAnsi="Arial" w:cs="Arial"/>
          <w:sz w:val="22"/>
          <w:szCs w:val="22"/>
        </w:rPr>
        <w:t xml:space="preserve"> dos revendedores, de qualquer modo, deviam ser reduzidas por causa das condições do mercado, é certo que decorre do </w:t>
      </w:r>
      <w:proofErr w:type="spellStart"/>
      <w:r w:rsidRPr="002E087B">
        <w:rPr>
          <w:rFonts w:ascii="Arial" w:hAnsi="Arial" w:cs="Arial"/>
          <w:sz w:val="22"/>
          <w:szCs w:val="22"/>
        </w:rPr>
        <w:t>n.°</w:t>
      </w:r>
      <w:proofErr w:type="spellEnd"/>
      <w:r w:rsidRPr="002E087B">
        <w:rPr>
          <w:rFonts w:ascii="Arial" w:hAnsi="Arial" w:cs="Arial"/>
          <w:sz w:val="22"/>
          <w:szCs w:val="22"/>
        </w:rPr>
        <w:t xml:space="preserve"> 33 </w:t>
      </w:r>
      <w:proofErr w:type="gramStart"/>
      <w:r w:rsidRPr="002E087B">
        <w:rPr>
          <w:rFonts w:ascii="Arial" w:hAnsi="Arial" w:cs="Arial"/>
          <w:sz w:val="22"/>
          <w:szCs w:val="22"/>
        </w:rPr>
        <w:t>do</w:t>
      </w:r>
      <w:proofErr w:type="gramEnd"/>
      <w:r w:rsidRPr="002E087B">
        <w:rPr>
          <w:rFonts w:ascii="Arial" w:hAnsi="Arial" w:cs="Arial"/>
          <w:sz w:val="22"/>
          <w:szCs w:val="22"/>
        </w:rPr>
        <w:t xml:space="preserve"> presente acórdão que a exigência de autonomia dos operadores económicos não exclui o seu direito de se adaptarem inteligentemente à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conhecida ou prevista dos seus concorrentes.</w:t>
      </w:r>
    </w:p>
    <w:p w:rsidR="00D80FE6" w:rsidRPr="002E087B" w:rsidRDefault="00D80FE6" w:rsidP="002E087B">
      <w:pPr>
        <w:pStyle w:val="c01pointnumerotealtn"/>
        <w:spacing w:line="276" w:lineRule="auto"/>
        <w:ind w:left="0"/>
        <w:rPr>
          <w:rFonts w:ascii="Arial" w:hAnsi="Arial" w:cs="Arial"/>
          <w:sz w:val="22"/>
          <w:szCs w:val="22"/>
        </w:rPr>
      </w:pPr>
      <w:bookmarkStart w:id="41" w:name="point41"/>
      <w:r w:rsidRPr="002E087B">
        <w:rPr>
          <w:rFonts w:ascii="Arial" w:hAnsi="Arial" w:cs="Arial"/>
          <w:sz w:val="22"/>
          <w:szCs w:val="22"/>
        </w:rPr>
        <w:t>41</w:t>
      </w:r>
      <w:bookmarkEnd w:id="41"/>
      <w:r w:rsidRPr="002E087B">
        <w:rPr>
          <w:rFonts w:ascii="Arial" w:hAnsi="Arial" w:cs="Arial"/>
          <w:sz w:val="22"/>
          <w:szCs w:val="22"/>
        </w:rPr>
        <w:t xml:space="preserve"> Todavia, como referiu a advogada</w:t>
      </w:r>
      <w:r w:rsidRPr="002E087B">
        <w:rPr>
          <w:rFonts w:ascii="Arial" w:hAnsi="Arial" w:cs="Arial"/>
          <w:sz w:val="22"/>
          <w:szCs w:val="22"/>
        </w:rPr>
        <w:noBreakHyphen/>
        <w:t xml:space="preserve">geral nos </w:t>
      </w:r>
      <w:proofErr w:type="spellStart"/>
      <w:r w:rsidRPr="002E087B">
        <w:rPr>
          <w:rFonts w:ascii="Arial" w:hAnsi="Arial" w:cs="Arial"/>
          <w:sz w:val="22"/>
          <w:szCs w:val="22"/>
        </w:rPr>
        <w:t>n.</w:t>
      </w:r>
      <w:r w:rsidRPr="002E087B">
        <w:rPr>
          <w:rFonts w:ascii="Arial" w:hAnsi="Arial" w:cs="Arial"/>
          <w:sz w:val="22"/>
          <w:szCs w:val="22"/>
          <w:vertAlign w:val="superscript"/>
        </w:rPr>
        <w:t>os</w:t>
      </w:r>
      <w:proofErr w:type="spellEnd"/>
      <w:r w:rsidRPr="002E087B">
        <w:rPr>
          <w:rFonts w:ascii="Arial" w:hAnsi="Arial" w:cs="Arial"/>
          <w:sz w:val="22"/>
          <w:szCs w:val="22"/>
        </w:rPr>
        <w:t xml:space="preserve"> 66 a 68 das suas conclusões, embora seja verdade que nem todo o comportamento paralelo de empresas concorrentes tem obrigatoriamente de ser imputado a uma concertação contrária à concorrência, há que considerar que uma troca de informações </w:t>
      </w:r>
      <w:proofErr w:type="spellStart"/>
      <w:r w:rsidRPr="002E087B">
        <w:rPr>
          <w:rFonts w:ascii="Arial" w:hAnsi="Arial" w:cs="Arial"/>
          <w:sz w:val="22"/>
          <w:szCs w:val="22"/>
        </w:rPr>
        <w:t>susceptível</w:t>
      </w:r>
      <w:proofErr w:type="spellEnd"/>
      <w:r w:rsidRPr="002E087B">
        <w:rPr>
          <w:rFonts w:ascii="Arial" w:hAnsi="Arial" w:cs="Arial"/>
          <w:sz w:val="22"/>
          <w:szCs w:val="22"/>
        </w:rPr>
        <w:t xml:space="preserve"> de eliminar as incertezas dos interessados quanto à data, à extensão e às modalidades da adaptação a realizar pela empresa em causa tem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inclusivamente quando a adaptação consiste na redução da comissão </w:t>
      </w:r>
      <w:proofErr w:type="gramStart"/>
      <w:r w:rsidRPr="002E087B">
        <w:rPr>
          <w:rFonts w:ascii="Arial" w:hAnsi="Arial" w:cs="Arial"/>
          <w:i/>
          <w:iCs/>
          <w:sz w:val="22"/>
          <w:szCs w:val="22"/>
        </w:rPr>
        <w:t>standard</w:t>
      </w:r>
      <w:proofErr w:type="gramEnd"/>
      <w:r w:rsidRPr="002E087B">
        <w:rPr>
          <w:rFonts w:ascii="Arial" w:hAnsi="Arial" w:cs="Arial"/>
          <w:sz w:val="22"/>
          <w:szCs w:val="22"/>
        </w:rPr>
        <w:t xml:space="preserve"> dos revendedores, como no processo principal.</w:t>
      </w:r>
    </w:p>
    <w:p w:rsidR="00D80FE6" w:rsidRPr="002E087B" w:rsidRDefault="00D80FE6" w:rsidP="002E087B">
      <w:pPr>
        <w:pStyle w:val="c01pointnumerotealtn"/>
        <w:spacing w:line="276" w:lineRule="auto"/>
        <w:ind w:left="0"/>
        <w:rPr>
          <w:rFonts w:ascii="Arial" w:hAnsi="Arial" w:cs="Arial"/>
          <w:sz w:val="22"/>
          <w:szCs w:val="22"/>
        </w:rPr>
      </w:pPr>
      <w:bookmarkStart w:id="42" w:name="point42"/>
      <w:r w:rsidRPr="002E087B">
        <w:rPr>
          <w:rFonts w:ascii="Arial" w:hAnsi="Arial" w:cs="Arial"/>
          <w:sz w:val="22"/>
          <w:szCs w:val="22"/>
        </w:rPr>
        <w:t>42</w:t>
      </w:r>
      <w:bookmarkEnd w:id="42"/>
      <w:r w:rsidRPr="002E087B">
        <w:rPr>
          <w:rFonts w:ascii="Arial" w:hAnsi="Arial" w:cs="Arial"/>
          <w:sz w:val="22"/>
          <w:szCs w:val="22"/>
        </w:rPr>
        <w:t xml:space="preserve"> Compete ao órgão jurisdicional de reenvio verificar se, no litígio no processo principal, as informações trocadas na reunião de 13 de Junho de 2001 eram </w:t>
      </w:r>
      <w:proofErr w:type="spellStart"/>
      <w:r w:rsidRPr="002E087B">
        <w:rPr>
          <w:rFonts w:ascii="Arial" w:hAnsi="Arial" w:cs="Arial"/>
          <w:sz w:val="22"/>
          <w:szCs w:val="22"/>
        </w:rPr>
        <w:t>susceptíveis</w:t>
      </w:r>
      <w:proofErr w:type="spellEnd"/>
      <w:r w:rsidRPr="002E087B">
        <w:rPr>
          <w:rFonts w:ascii="Arial" w:hAnsi="Arial" w:cs="Arial"/>
          <w:sz w:val="22"/>
          <w:szCs w:val="22"/>
        </w:rPr>
        <w:t xml:space="preserve"> de eliminar essas incertezas.</w:t>
      </w:r>
    </w:p>
    <w:p w:rsidR="00D80FE6" w:rsidRPr="002E087B" w:rsidRDefault="00D80FE6" w:rsidP="002E087B">
      <w:pPr>
        <w:pStyle w:val="c01pointnumerotealtn"/>
        <w:spacing w:line="276" w:lineRule="auto"/>
        <w:ind w:left="0"/>
        <w:rPr>
          <w:rFonts w:ascii="Arial" w:hAnsi="Arial" w:cs="Arial"/>
          <w:sz w:val="22"/>
          <w:szCs w:val="22"/>
        </w:rPr>
      </w:pPr>
      <w:bookmarkStart w:id="43" w:name="point43"/>
      <w:r w:rsidRPr="002E087B">
        <w:rPr>
          <w:rFonts w:ascii="Arial" w:hAnsi="Arial" w:cs="Arial"/>
          <w:sz w:val="22"/>
          <w:szCs w:val="22"/>
        </w:rPr>
        <w:t>43</w:t>
      </w:r>
      <w:bookmarkEnd w:id="43"/>
      <w:r w:rsidRPr="002E087B">
        <w:rPr>
          <w:rFonts w:ascii="Arial" w:hAnsi="Arial" w:cs="Arial"/>
          <w:sz w:val="22"/>
          <w:szCs w:val="22"/>
        </w:rPr>
        <w:t xml:space="preserve"> Face ao exposto, há que responder à primeira questão que uma prática concertada tem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quando, devido ao seu teor e à sua finalidade e tendo em conta o contexto jurídico e económico em que </w:t>
      </w:r>
      <w:r w:rsidRPr="002E087B">
        <w:rPr>
          <w:rFonts w:ascii="Arial" w:hAnsi="Arial" w:cs="Arial"/>
          <w:sz w:val="22"/>
          <w:szCs w:val="22"/>
        </w:rPr>
        <w:lastRenderedPageBreak/>
        <w:t xml:space="preserve">se insere, é concretamente apta a impedir, restringir ou falsear a concorrência no mercado comum. Não é necessário que a concorrência seja </w:t>
      </w:r>
      <w:proofErr w:type="spellStart"/>
      <w:r w:rsidRPr="002E087B">
        <w:rPr>
          <w:rFonts w:ascii="Arial" w:hAnsi="Arial" w:cs="Arial"/>
          <w:sz w:val="22"/>
          <w:szCs w:val="22"/>
        </w:rPr>
        <w:t>efectivamente</w:t>
      </w:r>
      <w:proofErr w:type="spellEnd"/>
      <w:r w:rsidRPr="002E087B">
        <w:rPr>
          <w:rFonts w:ascii="Arial" w:hAnsi="Arial" w:cs="Arial"/>
          <w:sz w:val="22"/>
          <w:szCs w:val="22"/>
        </w:rPr>
        <w:t xml:space="preserve"> impedida, restringida ou falseada nem que haja uma ligação </w:t>
      </w:r>
      <w:proofErr w:type="spellStart"/>
      <w:r w:rsidRPr="002E087B">
        <w:rPr>
          <w:rFonts w:ascii="Arial" w:hAnsi="Arial" w:cs="Arial"/>
          <w:sz w:val="22"/>
          <w:szCs w:val="22"/>
        </w:rPr>
        <w:t>directa</w:t>
      </w:r>
      <w:proofErr w:type="spellEnd"/>
      <w:r w:rsidRPr="002E087B">
        <w:rPr>
          <w:rFonts w:ascii="Arial" w:hAnsi="Arial" w:cs="Arial"/>
          <w:sz w:val="22"/>
          <w:szCs w:val="22"/>
        </w:rPr>
        <w:t xml:space="preserve"> entre essa prática concertada e os preços finais de venda ao consumidor. A troca de informações entre concorrentes tem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quando é </w:t>
      </w:r>
      <w:proofErr w:type="spellStart"/>
      <w:r w:rsidRPr="002E087B">
        <w:rPr>
          <w:rFonts w:ascii="Arial" w:hAnsi="Arial" w:cs="Arial"/>
          <w:sz w:val="22"/>
          <w:szCs w:val="22"/>
        </w:rPr>
        <w:t>susceptível</w:t>
      </w:r>
      <w:proofErr w:type="spellEnd"/>
      <w:r w:rsidRPr="002E087B">
        <w:rPr>
          <w:rFonts w:ascii="Arial" w:hAnsi="Arial" w:cs="Arial"/>
          <w:sz w:val="22"/>
          <w:szCs w:val="22"/>
        </w:rPr>
        <w:t xml:space="preserve"> de eliminar as incertezas quanto à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planeada pelas empresas em causa.</w:t>
      </w:r>
    </w:p>
    <w:p w:rsidR="00D80FE6" w:rsidRPr="002E087B" w:rsidRDefault="00D80FE6" w:rsidP="002E087B">
      <w:pPr>
        <w:pStyle w:val="c05titre2"/>
        <w:spacing w:line="276" w:lineRule="auto"/>
        <w:ind w:left="0"/>
        <w:rPr>
          <w:rFonts w:ascii="Arial" w:hAnsi="Arial" w:cs="Arial"/>
          <w:sz w:val="22"/>
          <w:szCs w:val="22"/>
        </w:rPr>
      </w:pPr>
      <w:r w:rsidRPr="002E087B">
        <w:rPr>
          <w:rFonts w:ascii="Arial" w:hAnsi="Arial" w:cs="Arial"/>
          <w:sz w:val="22"/>
          <w:szCs w:val="22"/>
        </w:rPr>
        <w:t>Quanto à segunda questão</w:t>
      </w:r>
    </w:p>
    <w:p w:rsidR="00D80FE6" w:rsidRPr="002E087B" w:rsidRDefault="00D80FE6" w:rsidP="002E087B">
      <w:pPr>
        <w:pStyle w:val="c01pointnumerotealtn"/>
        <w:spacing w:line="276" w:lineRule="auto"/>
        <w:ind w:left="0"/>
        <w:rPr>
          <w:rFonts w:ascii="Arial" w:hAnsi="Arial" w:cs="Arial"/>
          <w:sz w:val="22"/>
          <w:szCs w:val="22"/>
        </w:rPr>
      </w:pPr>
      <w:bookmarkStart w:id="44" w:name="point44"/>
      <w:r w:rsidRPr="002E087B">
        <w:rPr>
          <w:rFonts w:ascii="Arial" w:hAnsi="Arial" w:cs="Arial"/>
          <w:sz w:val="22"/>
          <w:szCs w:val="22"/>
        </w:rPr>
        <w:t>44</w:t>
      </w:r>
      <w:bookmarkEnd w:id="44"/>
      <w:r w:rsidRPr="002E087B">
        <w:rPr>
          <w:rFonts w:ascii="Arial" w:hAnsi="Arial" w:cs="Arial"/>
          <w:sz w:val="22"/>
          <w:szCs w:val="22"/>
        </w:rPr>
        <w:t xml:space="preserve"> Através da segunda questão, o órgão jurisdicional de reenvio pergunta, no essencial, se, no âmbito da análise do nexo de causalidade entre a concertação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das empresas que participam nessa concertação, nexo este que é exigido para demonstrar a existência de uma prática concertada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o juiz nacional é obrigado a aplicar a presunção de causalidade enunciada pela jurisprudência do Tribunal de Justiça, segundo a qual as empresas, quando continuam </w:t>
      </w:r>
      <w:proofErr w:type="spellStart"/>
      <w:r w:rsidRPr="002E087B">
        <w:rPr>
          <w:rFonts w:ascii="Arial" w:hAnsi="Arial" w:cs="Arial"/>
          <w:sz w:val="22"/>
          <w:szCs w:val="22"/>
        </w:rPr>
        <w:t>activas</w:t>
      </w:r>
      <w:proofErr w:type="spellEnd"/>
      <w:r w:rsidRPr="002E087B">
        <w:rPr>
          <w:rFonts w:ascii="Arial" w:hAnsi="Arial" w:cs="Arial"/>
          <w:sz w:val="22"/>
          <w:szCs w:val="22"/>
        </w:rPr>
        <w:t xml:space="preserve"> no mercado, levam em conta as informações trocadas com os seus concorrentes, ou se pode aplicar as normas de direito </w:t>
      </w:r>
      <w:proofErr w:type="gramStart"/>
      <w:r w:rsidRPr="002E087B">
        <w:rPr>
          <w:rFonts w:ascii="Arial" w:hAnsi="Arial" w:cs="Arial"/>
          <w:sz w:val="22"/>
          <w:szCs w:val="22"/>
        </w:rPr>
        <w:t>nacional relativas</w:t>
      </w:r>
      <w:proofErr w:type="gramEnd"/>
      <w:r w:rsidRPr="002E087B">
        <w:rPr>
          <w:rFonts w:ascii="Arial" w:hAnsi="Arial" w:cs="Arial"/>
          <w:sz w:val="22"/>
          <w:szCs w:val="22"/>
        </w:rPr>
        <w:t xml:space="preserve"> ao ónus da prova.</w:t>
      </w:r>
    </w:p>
    <w:p w:rsidR="00D80FE6" w:rsidRPr="002E087B" w:rsidRDefault="00D80FE6" w:rsidP="002E087B">
      <w:pPr>
        <w:pStyle w:val="c01pointnumerotealtn"/>
        <w:spacing w:line="276" w:lineRule="auto"/>
        <w:ind w:left="0"/>
        <w:rPr>
          <w:rFonts w:ascii="Arial" w:hAnsi="Arial" w:cs="Arial"/>
          <w:sz w:val="22"/>
          <w:szCs w:val="22"/>
        </w:rPr>
      </w:pPr>
      <w:bookmarkStart w:id="45" w:name="point45"/>
      <w:r w:rsidRPr="002E087B">
        <w:rPr>
          <w:rFonts w:ascii="Arial" w:hAnsi="Arial" w:cs="Arial"/>
          <w:sz w:val="22"/>
          <w:szCs w:val="22"/>
        </w:rPr>
        <w:t>45</w:t>
      </w:r>
      <w:bookmarkEnd w:id="45"/>
      <w:r w:rsidRPr="002E087B">
        <w:rPr>
          <w:rFonts w:ascii="Arial" w:hAnsi="Arial" w:cs="Arial"/>
          <w:sz w:val="22"/>
          <w:szCs w:val="22"/>
        </w:rPr>
        <w:t xml:space="preserve"> Como referiu a advogada</w:t>
      </w:r>
      <w:r w:rsidRPr="002E087B">
        <w:rPr>
          <w:rFonts w:ascii="Arial" w:hAnsi="Arial" w:cs="Arial"/>
          <w:sz w:val="22"/>
          <w:szCs w:val="22"/>
        </w:rPr>
        <w:noBreakHyphen/>
        <w:t xml:space="preserve">geral no </w:t>
      </w:r>
      <w:proofErr w:type="spellStart"/>
      <w:r w:rsidRPr="002E087B">
        <w:rPr>
          <w:rFonts w:ascii="Arial" w:hAnsi="Arial" w:cs="Arial"/>
          <w:sz w:val="22"/>
          <w:szCs w:val="22"/>
        </w:rPr>
        <w:t>n.°</w:t>
      </w:r>
      <w:proofErr w:type="spellEnd"/>
      <w:r w:rsidRPr="002E087B">
        <w:rPr>
          <w:rFonts w:ascii="Arial" w:hAnsi="Arial" w:cs="Arial"/>
          <w:sz w:val="22"/>
          <w:szCs w:val="22"/>
        </w:rPr>
        <w:t xml:space="preserve"> 76 </w:t>
      </w:r>
      <w:proofErr w:type="gramStart"/>
      <w:r w:rsidRPr="002E087B">
        <w:rPr>
          <w:rFonts w:ascii="Arial" w:hAnsi="Arial" w:cs="Arial"/>
          <w:sz w:val="22"/>
          <w:szCs w:val="22"/>
        </w:rPr>
        <w:t>das</w:t>
      </w:r>
      <w:proofErr w:type="gramEnd"/>
      <w:r w:rsidRPr="002E087B">
        <w:rPr>
          <w:rFonts w:ascii="Arial" w:hAnsi="Arial" w:cs="Arial"/>
          <w:sz w:val="22"/>
          <w:szCs w:val="22"/>
        </w:rPr>
        <w:t xml:space="preserve"> suas conclusões, esta questão pretende esclarecer se a presunção aplicada pelos tribunais comunitários também se impõe às autoridades e tribunais nacionais quando aplicam 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w:t>
      </w:r>
    </w:p>
    <w:p w:rsidR="00D80FE6" w:rsidRPr="002E087B" w:rsidRDefault="00D80FE6" w:rsidP="002E087B">
      <w:pPr>
        <w:pStyle w:val="c01pointnumerotealtn"/>
        <w:spacing w:line="276" w:lineRule="auto"/>
        <w:ind w:left="0"/>
        <w:rPr>
          <w:rFonts w:ascii="Arial" w:hAnsi="Arial" w:cs="Arial"/>
          <w:sz w:val="22"/>
          <w:szCs w:val="22"/>
        </w:rPr>
      </w:pPr>
      <w:bookmarkStart w:id="46" w:name="point46"/>
      <w:r w:rsidRPr="002E087B">
        <w:rPr>
          <w:rFonts w:ascii="Arial" w:hAnsi="Arial" w:cs="Arial"/>
          <w:sz w:val="22"/>
          <w:szCs w:val="22"/>
        </w:rPr>
        <w:t>46</w:t>
      </w:r>
      <w:bookmarkEnd w:id="46"/>
      <w:r w:rsidRPr="002E087B">
        <w:rPr>
          <w:rFonts w:ascii="Arial" w:hAnsi="Arial" w:cs="Arial"/>
          <w:sz w:val="22"/>
          <w:szCs w:val="22"/>
        </w:rPr>
        <w:t xml:space="preserve"> Segundo o órgão jurisdicional de reenvio, se a referida presunção estiver englobada no conceito de prática concertada contido no artigo 81, </w:t>
      </w:r>
      <w:proofErr w:type="spellStart"/>
      <w:r w:rsidRPr="002E087B">
        <w:rPr>
          <w:rFonts w:ascii="Arial" w:hAnsi="Arial" w:cs="Arial"/>
          <w:sz w:val="22"/>
          <w:szCs w:val="22"/>
        </w:rPr>
        <w:t>n.°</w:t>
      </w:r>
      <w:proofErr w:type="spellEnd"/>
      <w:r w:rsidRPr="002E087B">
        <w:rPr>
          <w:rFonts w:ascii="Arial" w:hAnsi="Arial" w:cs="Arial"/>
          <w:sz w:val="22"/>
          <w:szCs w:val="22"/>
        </w:rPr>
        <w:t xml:space="preserve"> 1, </w:t>
      </w:r>
      <w:proofErr w:type="gramStart"/>
      <w:r w:rsidRPr="002E087B">
        <w:rPr>
          <w:rFonts w:ascii="Arial" w:hAnsi="Arial" w:cs="Arial"/>
          <w:sz w:val="22"/>
          <w:szCs w:val="22"/>
        </w:rPr>
        <w:t>CE, o juiz nacional é obrigado</w:t>
      </w:r>
      <w:proofErr w:type="gramEnd"/>
      <w:r w:rsidRPr="002E087B">
        <w:rPr>
          <w:rFonts w:ascii="Arial" w:hAnsi="Arial" w:cs="Arial"/>
          <w:sz w:val="22"/>
          <w:szCs w:val="22"/>
        </w:rPr>
        <w:t xml:space="preserve"> a aplicá</w:t>
      </w:r>
      <w:r w:rsidRPr="002E087B">
        <w:rPr>
          <w:rFonts w:ascii="Arial" w:hAnsi="Arial" w:cs="Arial"/>
          <w:sz w:val="22"/>
          <w:szCs w:val="22"/>
        </w:rPr>
        <w:noBreakHyphen/>
        <w:t>la. O referido tribunal sustenta que, se, pelo contrário, essa presunção for de considerar uma regra processual, o juiz nacional pode deixar de a aplicar, ao abrigo do princípio da autonomia processual dos Estados</w:t>
      </w:r>
      <w:r w:rsidRPr="002E087B">
        <w:rPr>
          <w:rFonts w:ascii="Arial" w:hAnsi="Arial" w:cs="Arial"/>
          <w:sz w:val="22"/>
          <w:szCs w:val="22"/>
        </w:rPr>
        <w:noBreakHyphen/>
        <w:t>Membros.</w:t>
      </w:r>
    </w:p>
    <w:p w:rsidR="00D80FE6" w:rsidRPr="002E087B" w:rsidRDefault="00D80FE6" w:rsidP="002E087B">
      <w:pPr>
        <w:pStyle w:val="c01pointnumerotealtn"/>
        <w:spacing w:line="276" w:lineRule="auto"/>
        <w:ind w:left="0"/>
        <w:rPr>
          <w:rFonts w:ascii="Arial" w:hAnsi="Arial" w:cs="Arial"/>
          <w:sz w:val="22"/>
          <w:szCs w:val="22"/>
        </w:rPr>
      </w:pPr>
      <w:bookmarkStart w:id="47" w:name="point47"/>
      <w:r w:rsidRPr="002E087B">
        <w:rPr>
          <w:rFonts w:ascii="Arial" w:hAnsi="Arial" w:cs="Arial"/>
          <w:sz w:val="22"/>
          <w:szCs w:val="22"/>
        </w:rPr>
        <w:t>47</w:t>
      </w:r>
      <w:bookmarkEnd w:id="47"/>
      <w:r w:rsidRPr="002E087B">
        <w:rPr>
          <w:rFonts w:ascii="Arial" w:hAnsi="Arial" w:cs="Arial"/>
          <w:sz w:val="22"/>
          <w:szCs w:val="22"/>
        </w:rPr>
        <w:t xml:space="preserve"> A T</w:t>
      </w:r>
      <w:r w:rsidRPr="002E087B">
        <w:rPr>
          <w:rFonts w:ascii="Arial" w:hAnsi="Arial" w:cs="Arial"/>
          <w:sz w:val="22"/>
          <w:szCs w:val="22"/>
        </w:rPr>
        <w:noBreakHyphen/>
        <w:t xml:space="preserve">Mobile, a KPN e a Vodafone observam que nenhum elemento decorrente do artigo 81.° CE ou da jurisprudência do Tribunal de Justiça permite fundamentar a conclusão de que a presunção de causalidade é parte integrante do conceito de </w:t>
      </w:r>
      <w:proofErr w:type="gramStart"/>
      <w:r w:rsidRPr="002E087B">
        <w:rPr>
          <w:rFonts w:ascii="Arial" w:hAnsi="Arial" w:cs="Arial"/>
          <w:sz w:val="22"/>
          <w:szCs w:val="22"/>
        </w:rPr>
        <w:t>prática concertada contido</w:t>
      </w:r>
      <w:proofErr w:type="gramEnd"/>
      <w:r w:rsidRPr="002E087B">
        <w:rPr>
          <w:rFonts w:ascii="Arial" w:hAnsi="Arial" w:cs="Arial"/>
          <w:sz w:val="22"/>
          <w:szCs w:val="22"/>
        </w:rPr>
        <w:t xml:space="preserve"> no referido artigo 81, </w:t>
      </w:r>
      <w:proofErr w:type="spellStart"/>
      <w:r w:rsidRPr="002E087B">
        <w:rPr>
          <w:rFonts w:ascii="Arial" w:hAnsi="Arial" w:cs="Arial"/>
          <w:sz w:val="22"/>
          <w:szCs w:val="22"/>
        </w:rPr>
        <w:t>n.°</w:t>
      </w:r>
      <w:proofErr w:type="spellEnd"/>
      <w:r w:rsidRPr="002E087B">
        <w:rPr>
          <w:rFonts w:ascii="Arial" w:hAnsi="Arial" w:cs="Arial"/>
          <w:sz w:val="22"/>
          <w:szCs w:val="22"/>
        </w:rPr>
        <w:t xml:space="preserve"> 1, CE. Consideram, portanto, que, segundo jurisprudência assente, na falta de regulamentação comunitária na matéria, cabe ao ordenamento jurídico interno de cada Estado</w:t>
      </w:r>
      <w:r w:rsidRPr="002E087B">
        <w:rPr>
          <w:rFonts w:ascii="Arial" w:hAnsi="Arial" w:cs="Arial"/>
          <w:sz w:val="22"/>
          <w:szCs w:val="22"/>
        </w:rPr>
        <w:noBreakHyphen/>
        <w:t xml:space="preserve">Membro designar os órgãos jurisdicionais competentes e regular as modalidades processuais das </w:t>
      </w:r>
      <w:proofErr w:type="spellStart"/>
      <w:r w:rsidRPr="002E087B">
        <w:rPr>
          <w:rFonts w:ascii="Arial" w:hAnsi="Arial" w:cs="Arial"/>
          <w:sz w:val="22"/>
          <w:szCs w:val="22"/>
        </w:rPr>
        <w:t>acções</w:t>
      </w:r>
      <w:proofErr w:type="spellEnd"/>
      <w:r w:rsidRPr="002E087B">
        <w:rPr>
          <w:rFonts w:ascii="Arial" w:hAnsi="Arial" w:cs="Arial"/>
          <w:sz w:val="22"/>
          <w:szCs w:val="22"/>
        </w:rPr>
        <w:t xml:space="preserve"> judiciais destinadas a garantir a </w:t>
      </w:r>
      <w:proofErr w:type="spellStart"/>
      <w:r w:rsidRPr="002E087B">
        <w:rPr>
          <w:rFonts w:ascii="Arial" w:hAnsi="Arial" w:cs="Arial"/>
          <w:sz w:val="22"/>
          <w:szCs w:val="22"/>
        </w:rPr>
        <w:t>protecção</w:t>
      </w:r>
      <w:proofErr w:type="spellEnd"/>
      <w:r w:rsidRPr="002E087B">
        <w:rPr>
          <w:rFonts w:ascii="Arial" w:hAnsi="Arial" w:cs="Arial"/>
          <w:sz w:val="22"/>
          <w:szCs w:val="22"/>
        </w:rPr>
        <w:t xml:space="preserve"> dos direitos que para os particulares decorrem do direito comunitário, desde que, por um lado, essas modalidades não sejam menos favoráveis do que as das </w:t>
      </w:r>
      <w:proofErr w:type="spellStart"/>
      <w:r w:rsidRPr="002E087B">
        <w:rPr>
          <w:rFonts w:ascii="Arial" w:hAnsi="Arial" w:cs="Arial"/>
          <w:sz w:val="22"/>
          <w:szCs w:val="22"/>
        </w:rPr>
        <w:t>acções</w:t>
      </w:r>
      <w:proofErr w:type="spellEnd"/>
      <w:r w:rsidRPr="002E087B">
        <w:rPr>
          <w:rFonts w:ascii="Arial" w:hAnsi="Arial" w:cs="Arial"/>
          <w:sz w:val="22"/>
          <w:szCs w:val="22"/>
        </w:rPr>
        <w:t xml:space="preserve"> análogas de natureza interna (princípio da equivalência) e, por outro, não tornem impossível, na prática, ou excessivamente difícil o exercício dos direitos conferidos pelo ordenamento jurídico comunitário (princípio da </w:t>
      </w:r>
      <w:proofErr w:type="spellStart"/>
      <w:r w:rsidRPr="002E087B">
        <w:rPr>
          <w:rFonts w:ascii="Arial" w:hAnsi="Arial" w:cs="Arial"/>
          <w:sz w:val="22"/>
          <w:szCs w:val="22"/>
        </w:rPr>
        <w:t>efectividade</w:t>
      </w:r>
      <w:proofErr w:type="spellEnd"/>
      <w:r w:rsidRPr="002E087B">
        <w:rPr>
          <w:rFonts w:ascii="Arial" w:hAnsi="Arial" w:cs="Arial"/>
          <w:sz w:val="22"/>
          <w:szCs w:val="22"/>
        </w:rPr>
        <w:t>).</w:t>
      </w:r>
    </w:p>
    <w:p w:rsidR="00D80FE6" w:rsidRPr="002E087B" w:rsidRDefault="00D80FE6" w:rsidP="002E087B">
      <w:pPr>
        <w:pStyle w:val="c01pointnumerotealtn"/>
        <w:spacing w:line="276" w:lineRule="auto"/>
        <w:ind w:left="0"/>
        <w:rPr>
          <w:rFonts w:ascii="Arial" w:hAnsi="Arial" w:cs="Arial"/>
          <w:sz w:val="22"/>
          <w:szCs w:val="22"/>
        </w:rPr>
      </w:pPr>
      <w:bookmarkStart w:id="48" w:name="point48"/>
      <w:r w:rsidRPr="002E087B">
        <w:rPr>
          <w:rFonts w:ascii="Arial" w:hAnsi="Arial" w:cs="Arial"/>
          <w:sz w:val="22"/>
          <w:szCs w:val="22"/>
        </w:rPr>
        <w:t>48</w:t>
      </w:r>
      <w:bookmarkEnd w:id="48"/>
      <w:r w:rsidRPr="002E087B">
        <w:rPr>
          <w:rFonts w:ascii="Arial" w:hAnsi="Arial" w:cs="Arial"/>
          <w:sz w:val="22"/>
          <w:szCs w:val="22"/>
        </w:rPr>
        <w:t xml:space="preserve"> Ao invés, o Governo neerlandês e a Comissão consideram que a presunção de causalidade foi criada como componente do conceito de prática concertada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e não enquanto regra processual independente deste conceito, de modo que esta presunção se impõe aos tribunais nacionais.</w:t>
      </w:r>
    </w:p>
    <w:p w:rsidR="00D80FE6" w:rsidRPr="002E087B" w:rsidRDefault="00D80FE6" w:rsidP="002E087B">
      <w:pPr>
        <w:pStyle w:val="c01pointnumerotealtn"/>
        <w:spacing w:line="276" w:lineRule="auto"/>
        <w:ind w:left="0"/>
        <w:rPr>
          <w:rFonts w:ascii="Arial" w:hAnsi="Arial" w:cs="Arial"/>
          <w:sz w:val="22"/>
          <w:szCs w:val="22"/>
        </w:rPr>
      </w:pPr>
      <w:bookmarkStart w:id="49" w:name="point49"/>
      <w:r w:rsidRPr="002E087B">
        <w:rPr>
          <w:rFonts w:ascii="Arial" w:hAnsi="Arial" w:cs="Arial"/>
          <w:sz w:val="22"/>
          <w:szCs w:val="22"/>
        </w:rPr>
        <w:lastRenderedPageBreak/>
        <w:t>49</w:t>
      </w:r>
      <w:bookmarkEnd w:id="49"/>
      <w:r w:rsidRPr="002E087B">
        <w:rPr>
          <w:rFonts w:ascii="Arial" w:hAnsi="Arial" w:cs="Arial"/>
          <w:sz w:val="22"/>
          <w:szCs w:val="22"/>
        </w:rPr>
        <w:t xml:space="preserve"> A este respeito, recorde</w:t>
      </w:r>
      <w:r w:rsidRPr="002E087B">
        <w:rPr>
          <w:rFonts w:ascii="Arial" w:hAnsi="Arial" w:cs="Arial"/>
          <w:sz w:val="22"/>
          <w:szCs w:val="22"/>
        </w:rPr>
        <w:noBreakHyphen/>
        <w:t xml:space="preserve">se antes de mais que o artigo 81.° CE, por um lado, produz efeitos </w:t>
      </w:r>
      <w:proofErr w:type="spellStart"/>
      <w:r w:rsidRPr="002E087B">
        <w:rPr>
          <w:rFonts w:ascii="Arial" w:hAnsi="Arial" w:cs="Arial"/>
          <w:sz w:val="22"/>
          <w:szCs w:val="22"/>
        </w:rPr>
        <w:t>directos</w:t>
      </w:r>
      <w:proofErr w:type="spellEnd"/>
      <w:r w:rsidRPr="002E087B">
        <w:rPr>
          <w:rFonts w:ascii="Arial" w:hAnsi="Arial" w:cs="Arial"/>
          <w:sz w:val="22"/>
          <w:szCs w:val="22"/>
        </w:rPr>
        <w:t xml:space="preserve"> nas relações entre particulares e cria direitos na esfera jurídica destes que os órgãos jurisdicionais nacionais devem proteger e que, por outro, é uma disposição de ordem pública, indispensável ao cumprimento das funções atribuídas à Comunidade Europeia, que deve ser aplicada oficiosamente pelos órgãos jurisdicionais nacionais (v., neste sentido, acórdãos de 1 de Junho de 1999, Eco </w:t>
      </w:r>
      <w:proofErr w:type="spellStart"/>
      <w:r w:rsidRPr="002E087B">
        <w:rPr>
          <w:rFonts w:ascii="Arial" w:hAnsi="Arial" w:cs="Arial"/>
          <w:sz w:val="22"/>
          <w:szCs w:val="22"/>
        </w:rPr>
        <w:t>Swiss</w:t>
      </w:r>
      <w:proofErr w:type="spellEnd"/>
      <w:r w:rsidRPr="002E087B">
        <w:rPr>
          <w:rFonts w:ascii="Arial" w:hAnsi="Arial" w:cs="Arial"/>
          <w:sz w:val="22"/>
          <w:szCs w:val="22"/>
        </w:rPr>
        <w:t>, C</w:t>
      </w:r>
      <w:r w:rsidRPr="002E087B">
        <w:rPr>
          <w:rFonts w:ascii="Arial" w:hAnsi="Arial" w:cs="Arial"/>
          <w:sz w:val="22"/>
          <w:szCs w:val="22"/>
        </w:rPr>
        <w:noBreakHyphen/>
        <w:t xml:space="preserve">126/97, </w:t>
      </w:r>
      <w:proofErr w:type="spellStart"/>
      <w:r w:rsidRPr="002E087B">
        <w:rPr>
          <w:rFonts w:ascii="Arial" w:hAnsi="Arial" w:cs="Arial"/>
          <w:sz w:val="22"/>
          <w:szCs w:val="22"/>
        </w:rPr>
        <w:t>Colect</w:t>
      </w:r>
      <w:proofErr w:type="spellEnd"/>
      <w:r w:rsidRPr="002E087B">
        <w:rPr>
          <w:rFonts w:ascii="Arial" w:hAnsi="Arial" w:cs="Arial"/>
          <w:sz w:val="22"/>
          <w:szCs w:val="22"/>
        </w:rPr>
        <w:t>., p. I</w:t>
      </w:r>
      <w:r w:rsidRPr="002E087B">
        <w:rPr>
          <w:rFonts w:ascii="Arial" w:hAnsi="Arial" w:cs="Arial"/>
          <w:sz w:val="22"/>
          <w:szCs w:val="22"/>
        </w:rPr>
        <w:noBreakHyphen/>
        <w:t xml:space="preserve">3055, </w:t>
      </w:r>
      <w:proofErr w:type="spellStart"/>
      <w:r w:rsidRPr="002E087B">
        <w:rPr>
          <w:rFonts w:ascii="Arial" w:hAnsi="Arial" w:cs="Arial"/>
          <w:sz w:val="22"/>
          <w:szCs w:val="22"/>
        </w:rPr>
        <w:t>n.</w:t>
      </w:r>
      <w:r w:rsidRPr="002E087B">
        <w:rPr>
          <w:rFonts w:ascii="Arial" w:hAnsi="Arial" w:cs="Arial"/>
          <w:sz w:val="22"/>
          <w:szCs w:val="22"/>
          <w:vertAlign w:val="superscript"/>
        </w:rPr>
        <w:t>os</w:t>
      </w:r>
      <w:proofErr w:type="spellEnd"/>
      <w:r w:rsidRPr="002E087B">
        <w:rPr>
          <w:rFonts w:ascii="Arial" w:hAnsi="Arial" w:cs="Arial"/>
          <w:sz w:val="22"/>
          <w:szCs w:val="22"/>
        </w:rPr>
        <w:t xml:space="preserve"> 36 e 39, e de 13 de Julho de 2006, </w:t>
      </w:r>
      <w:proofErr w:type="spellStart"/>
      <w:r w:rsidRPr="002E087B">
        <w:rPr>
          <w:rFonts w:ascii="Arial" w:hAnsi="Arial" w:cs="Arial"/>
          <w:sz w:val="22"/>
          <w:szCs w:val="22"/>
        </w:rPr>
        <w:t>Manfredi</w:t>
      </w:r>
      <w:proofErr w:type="spellEnd"/>
      <w:r w:rsidRPr="002E087B">
        <w:rPr>
          <w:rFonts w:ascii="Arial" w:hAnsi="Arial" w:cs="Arial"/>
          <w:sz w:val="22"/>
          <w:szCs w:val="22"/>
        </w:rPr>
        <w:t xml:space="preserve"> e o., C</w:t>
      </w:r>
      <w:r w:rsidRPr="002E087B">
        <w:rPr>
          <w:rFonts w:ascii="Arial" w:hAnsi="Arial" w:cs="Arial"/>
          <w:sz w:val="22"/>
          <w:szCs w:val="22"/>
        </w:rPr>
        <w:noBreakHyphen/>
        <w:t>295/04 a C</w:t>
      </w:r>
      <w:r w:rsidRPr="002E087B">
        <w:rPr>
          <w:rFonts w:ascii="Arial" w:hAnsi="Arial" w:cs="Arial"/>
          <w:sz w:val="22"/>
          <w:szCs w:val="22"/>
        </w:rPr>
        <w:noBreakHyphen/>
        <w:t xml:space="preserve">298/04, </w:t>
      </w:r>
      <w:proofErr w:type="spellStart"/>
      <w:r w:rsidRPr="002E087B">
        <w:rPr>
          <w:rFonts w:ascii="Arial" w:hAnsi="Arial" w:cs="Arial"/>
          <w:sz w:val="22"/>
          <w:szCs w:val="22"/>
        </w:rPr>
        <w:t>Colect</w:t>
      </w:r>
      <w:proofErr w:type="spellEnd"/>
      <w:r w:rsidRPr="002E087B">
        <w:rPr>
          <w:rFonts w:ascii="Arial" w:hAnsi="Arial" w:cs="Arial"/>
          <w:sz w:val="22"/>
          <w:szCs w:val="22"/>
        </w:rPr>
        <w:t>., p. I</w:t>
      </w:r>
      <w:r w:rsidRPr="002E087B">
        <w:rPr>
          <w:rFonts w:ascii="Arial" w:hAnsi="Arial" w:cs="Arial"/>
          <w:sz w:val="22"/>
          <w:szCs w:val="22"/>
        </w:rPr>
        <w:noBreakHyphen/>
        <w:t xml:space="preserve">6619, </w:t>
      </w:r>
      <w:proofErr w:type="spellStart"/>
      <w:r w:rsidRPr="002E087B">
        <w:rPr>
          <w:rFonts w:ascii="Arial" w:hAnsi="Arial" w:cs="Arial"/>
          <w:sz w:val="22"/>
          <w:szCs w:val="22"/>
        </w:rPr>
        <w:t>n.</w:t>
      </w:r>
      <w:r w:rsidRPr="002E087B">
        <w:rPr>
          <w:rFonts w:ascii="Arial" w:hAnsi="Arial" w:cs="Arial"/>
          <w:sz w:val="22"/>
          <w:szCs w:val="22"/>
          <w:vertAlign w:val="superscript"/>
        </w:rPr>
        <w:t>os</w:t>
      </w:r>
      <w:proofErr w:type="spellEnd"/>
      <w:r w:rsidRPr="002E087B">
        <w:rPr>
          <w:rFonts w:ascii="Arial" w:hAnsi="Arial" w:cs="Arial"/>
          <w:sz w:val="22"/>
          <w:szCs w:val="22"/>
        </w:rPr>
        <w:t xml:space="preserve"> 31 e 39).</w:t>
      </w:r>
    </w:p>
    <w:p w:rsidR="00D80FE6" w:rsidRPr="002E087B" w:rsidRDefault="00D80FE6" w:rsidP="002E087B">
      <w:pPr>
        <w:pStyle w:val="c01pointnumerotealtn"/>
        <w:spacing w:line="276" w:lineRule="auto"/>
        <w:ind w:left="0"/>
        <w:rPr>
          <w:rFonts w:ascii="Arial" w:hAnsi="Arial" w:cs="Arial"/>
          <w:sz w:val="22"/>
          <w:szCs w:val="22"/>
        </w:rPr>
      </w:pPr>
      <w:bookmarkStart w:id="50" w:name="point50"/>
      <w:r w:rsidRPr="002E087B">
        <w:rPr>
          <w:rFonts w:ascii="Arial" w:hAnsi="Arial" w:cs="Arial"/>
          <w:sz w:val="22"/>
          <w:szCs w:val="22"/>
        </w:rPr>
        <w:t>50</w:t>
      </w:r>
      <w:bookmarkEnd w:id="50"/>
      <w:r w:rsidRPr="002E087B">
        <w:rPr>
          <w:rFonts w:ascii="Arial" w:hAnsi="Arial" w:cs="Arial"/>
          <w:sz w:val="22"/>
          <w:szCs w:val="22"/>
        </w:rPr>
        <w:t xml:space="preserve"> Consequentemente, a interpretação que o Tribunal de Justiça faz do artigo 81.° CE é vinculativa para os tribunais dos Estados</w:t>
      </w:r>
      <w:r w:rsidRPr="002E087B">
        <w:rPr>
          <w:rFonts w:ascii="Arial" w:hAnsi="Arial" w:cs="Arial"/>
          <w:sz w:val="22"/>
          <w:szCs w:val="22"/>
        </w:rPr>
        <w:noBreakHyphen/>
        <w:t>Membros quando aplicam esta disposição.</w:t>
      </w:r>
    </w:p>
    <w:p w:rsidR="00D80FE6" w:rsidRPr="002E087B" w:rsidRDefault="00D80FE6" w:rsidP="002E087B">
      <w:pPr>
        <w:pStyle w:val="c01pointnumerotealtn"/>
        <w:spacing w:line="276" w:lineRule="auto"/>
        <w:ind w:left="0"/>
        <w:rPr>
          <w:rFonts w:ascii="Arial" w:hAnsi="Arial" w:cs="Arial"/>
          <w:sz w:val="22"/>
          <w:szCs w:val="22"/>
        </w:rPr>
      </w:pPr>
      <w:bookmarkStart w:id="51" w:name="point51"/>
      <w:r w:rsidRPr="002E087B">
        <w:rPr>
          <w:rFonts w:ascii="Arial" w:hAnsi="Arial" w:cs="Arial"/>
          <w:sz w:val="22"/>
          <w:szCs w:val="22"/>
        </w:rPr>
        <w:t>51</w:t>
      </w:r>
      <w:bookmarkEnd w:id="51"/>
      <w:r w:rsidRPr="002E087B">
        <w:rPr>
          <w:rFonts w:ascii="Arial" w:hAnsi="Arial" w:cs="Arial"/>
          <w:sz w:val="22"/>
          <w:szCs w:val="22"/>
        </w:rPr>
        <w:t xml:space="preserve"> No que diz respeito à presunção de causalidade formulada pelo Tribunal de Justiça no âmbito da interpretação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w:t>
      </w:r>
      <w:proofErr w:type="gramStart"/>
      <w:r w:rsidRPr="002E087B">
        <w:rPr>
          <w:rFonts w:ascii="Arial" w:hAnsi="Arial" w:cs="Arial"/>
          <w:sz w:val="22"/>
          <w:szCs w:val="22"/>
        </w:rPr>
        <w:t>importa</w:t>
      </w:r>
      <w:proofErr w:type="gramEnd"/>
      <w:r w:rsidRPr="002E087B">
        <w:rPr>
          <w:rFonts w:ascii="Arial" w:hAnsi="Arial" w:cs="Arial"/>
          <w:sz w:val="22"/>
          <w:szCs w:val="22"/>
        </w:rPr>
        <w:t xml:space="preserve"> </w:t>
      </w:r>
      <w:proofErr w:type="gramStart"/>
      <w:r w:rsidRPr="002E087B">
        <w:rPr>
          <w:rFonts w:ascii="Arial" w:hAnsi="Arial" w:cs="Arial"/>
          <w:sz w:val="22"/>
          <w:szCs w:val="22"/>
        </w:rPr>
        <w:t>começar</w:t>
      </w:r>
      <w:proofErr w:type="gramEnd"/>
      <w:r w:rsidRPr="002E087B">
        <w:rPr>
          <w:rFonts w:ascii="Arial" w:hAnsi="Arial" w:cs="Arial"/>
          <w:sz w:val="22"/>
          <w:szCs w:val="22"/>
        </w:rPr>
        <w:t xml:space="preserve"> por recordar que o Tribunal de Justiça declarou que, como resulta dos próprios termos desta disposição, o conceito de prática concertada implica, para além da concertação entre as empresas envolvidas, um comportamento no mercado que seja consequente com essa concertação e um nexo de causalidade entre esses dois elementos. O Tribunal de Justiça considerou em seguida que, todavia, há que presumir, sem prejuízo da prova em contrário que cabe aos operadores interessados apresentar, que as empresas que participam na concertação e que continuam </w:t>
      </w:r>
      <w:proofErr w:type="spellStart"/>
      <w:r w:rsidRPr="002E087B">
        <w:rPr>
          <w:rFonts w:ascii="Arial" w:hAnsi="Arial" w:cs="Arial"/>
          <w:sz w:val="22"/>
          <w:szCs w:val="22"/>
        </w:rPr>
        <w:t>activas</w:t>
      </w:r>
      <w:proofErr w:type="spellEnd"/>
      <w:r w:rsidRPr="002E087B">
        <w:rPr>
          <w:rFonts w:ascii="Arial" w:hAnsi="Arial" w:cs="Arial"/>
          <w:sz w:val="22"/>
          <w:szCs w:val="22"/>
        </w:rPr>
        <w:t xml:space="preserve"> no mercado atendem às informações trocadas com os seus concorrentes para determinar o seu comportamento nesse mercado. Por maioria de razão, isto verifica</w:t>
      </w:r>
      <w:r w:rsidRPr="002E087B">
        <w:rPr>
          <w:rFonts w:ascii="Arial" w:hAnsi="Arial" w:cs="Arial"/>
          <w:sz w:val="22"/>
          <w:szCs w:val="22"/>
        </w:rPr>
        <w:noBreakHyphen/>
        <w:t xml:space="preserve">se quando a concertação ocorrer regularmente durante um longo período. Por último, o Tribunal de Justiça concluiu que uma prática concertada como a definida é abrangida pelo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mesmo que não tenha efeitos </w:t>
      </w:r>
      <w:proofErr w:type="spellStart"/>
      <w:r w:rsidRPr="002E087B">
        <w:rPr>
          <w:rFonts w:ascii="Arial" w:hAnsi="Arial" w:cs="Arial"/>
          <w:sz w:val="22"/>
          <w:szCs w:val="22"/>
        </w:rPr>
        <w:t>anticoncorrenciais</w:t>
      </w:r>
      <w:proofErr w:type="spellEnd"/>
      <w:r w:rsidRPr="002E087B">
        <w:rPr>
          <w:rFonts w:ascii="Arial" w:hAnsi="Arial" w:cs="Arial"/>
          <w:sz w:val="22"/>
          <w:szCs w:val="22"/>
        </w:rPr>
        <w:t xml:space="preserve"> no mercado (v. acórdão </w:t>
      </w:r>
      <w:proofErr w:type="spellStart"/>
      <w:r w:rsidRPr="002E087B">
        <w:rPr>
          <w:rFonts w:ascii="Arial" w:hAnsi="Arial" w:cs="Arial"/>
          <w:sz w:val="22"/>
          <w:szCs w:val="22"/>
        </w:rPr>
        <w:t>Hüls</w:t>
      </w:r>
      <w:proofErr w:type="spellEnd"/>
      <w:r w:rsidRPr="002E087B">
        <w:rPr>
          <w:rFonts w:ascii="Arial" w:hAnsi="Arial" w:cs="Arial"/>
          <w:sz w:val="22"/>
          <w:szCs w:val="22"/>
        </w:rPr>
        <w:t xml:space="preserve">/Comissão, já referido, </w:t>
      </w:r>
      <w:proofErr w:type="spellStart"/>
      <w:r w:rsidRPr="002E087B">
        <w:rPr>
          <w:rFonts w:ascii="Arial" w:hAnsi="Arial" w:cs="Arial"/>
          <w:sz w:val="22"/>
          <w:szCs w:val="22"/>
        </w:rPr>
        <w:t>n.</w:t>
      </w:r>
      <w:r w:rsidRPr="002E087B">
        <w:rPr>
          <w:rFonts w:ascii="Arial" w:hAnsi="Arial" w:cs="Arial"/>
          <w:sz w:val="22"/>
          <w:szCs w:val="22"/>
          <w:vertAlign w:val="superscript"/>
        </w:rPr>
        <w:t>os</w:t>
      </w:r>
      <w:proofErr w:type="spellEnd"/>
      <w:r w:rsidRPr="002E087B">
        <w:rPr>
          <w:rFonts w:ascii="Arial" w:hAnsi="Arial" w:cs="Arial"/>
          <w:sz w:val="22"/>
          <w:szCs w:val="22"/>
        </w:rPr>
        <w:t xml:space="preserve"> 161 a 163).</w:t>
      </w:r>
    </w:p>
    <w:p w:rsidR="00D80FE6" w:rsidRPr="002E087B" w:rsidRDefault="00D80FE6" w:rsidP="002E087B">
      <w:pPr>
        <w:pStyle w:val="c01pointnumerotealtn"/>
        <w:spacing w:line="276" w:lineRule="auto"/>
        <w:ind w:left="0"/>
        <w:rPr>
          <w:rFonts w:ascii="Arial" w:hAnsi="Arial" w:cs="Arial"/>
          <w:sz w:val="22"/>
          <w:szCs w:val="22"/>
        </w:rPr>
      </w:pPr>
      <w:bookmarkStart w:id="52" w:name="point52"/>
      <w:r w:rsidRPr="002E087B">
        <w:rPr>
          <w:rFonts w:ascii="Arial" w:hAnsi="Arial" w:cs="Arial"/>
          <w:sz w:val="22"/>
          <w:szCs w:val="22"/>
        </w:rPr>
        <w:t>52</w:t>
      </w:r>
      <w:bookmarkEnd w:id="52"/>
      <w:r w:rsidRPr="002E087B">
        <w:rPr>
          <w:rFonts w:ascii="Arial" w:hAnsi="Arial" w:cs="Arial"/>
          <w:sz w:val="22"/>
          <w:szCs w:val="22"/>
        </w:rPr>
        <w:t xml:space="preserve"> Nestas condições, conclui</w:t>
      </w:r>
      <w:r w:rsidRPr="002E087B">
        <w:rPr>
          <w:rFonts w:ascii="Arial" w:hAnsi="Arial" w:cs="Arial"/>
          <w:sz w:val="22"/>
          <w:szCs w:val="22"/>
        </w:rPr>
        <w:noBreakHyphen/>
        <w:t xml:space="preserve">se que a presunção de causalidade decorre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tal como interpretado pelo Tribunal de Justiça e que, por conseguinte, é parte integrante do direito comunitário aplicável.</w:t>
      </w:r>
    </w:p>
    <w:p w:rsidR="00D80FE6" w:rsidRPr="002E087B" w:rsidRDefault="00D80FE6" w:rsidP="002E087B">
      <w:pPr>
        <w:pStyle w:val="c01pointnumerotealtn"/>
        <w:spacing w:line="276" w:lineRule="auto"/>
        <w:ind w:left="0"/>
        <w:rPr>
          <w:rFonts w:ascii="Arial" w:hAnsi="Arial" w:cs="Arial"/>
          <w:sz w:val="22"/>
          <w:szCs w:val="22"/>
        </w:rPr>
      </w:pPr>
      <w:bookmarkStart w:id="53" w:name="point53"/>
      <w:r w:rsidRPr="002E087B">
        <w:rPr>
          <w:rFonts w:ascii="Arial" w:hAnsi="Arial" w:cs="Arial"/>
          <w:sz w:val="22"/>
          <w:szCs w:val="22"/>
        </w:rPr>
        <w:t>53</w:t>
      </w:r>
      <w:bookmarkEnd w:id="53"/>
      <w:r w:rsidRPr="002E087B">
        <w:rPr>
          <w:rFonts w:ascii="Arial" w:hAnsi="Arial" w:cs="Arial"/>
          <w:sz w:val="22"/>
          <w:szCs w:val="22"/>
        </w:rPr>
        <w:t xml:space="preserve"> Face ao exposto, há que responder à segunda questão que, no âmbito da análise do nexo de causalidade entre a concertação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das empresas que participam nessa concertação, nexo este que é exigido para demonstrar a existência de uma prática concertada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w:t>
      </w:r>
      <w:proofErr w:type="gramStart"/>
      <w:r w:rsidRPr="002E087B">
        <w:rPr>
          <w:rFonts w:ascii="Arial" w:hAnsi="Arial" w:cs="Arial"/>
          <w:sz w:val="22"/>
          <w:szCs w:val="22"/>
        </w:rPr>
        <w:t>CE, o juiz nacional é obrigado</w:t>
      </w:r>
      <w:proofErr w:type="gramEnd"/>
      <w:r w:rsidRPr="002E087B">
        <w:rPr>
          <w:rFonts w:ascii="Arial" w:hAnsi="Arial" w:cs="Arial"/>
          <w:sz w:val="22"/>
          <w:szCs w:val="22"/>
        </w:rPr>
        <w:t xml:space="preserve">, sem prejuízo da prova em contrário que cabe às empresas fazer, a aplicar a presunção de causalidade enunciada pela jurisprudência do Tribunal de Justiça, segundo a qual as empresas, quando continuam </w:t>
      </w:r>
      <w:proofErr w:type="spellStart"/>
      <w:r w:rsidRPr="002E087B">
        <w:rPr>
          <w:rFonts w:ascii="Arial" w:hAnsi="Arial" w:cs="Arial"/>
          <w:sz w:val="22"/>
          <w:szCs w:val="22"/>
        </w:rPr>
        <w:t>activas</w:t>
      </w:r>
      <w:proofErr w:type="spellEnd"/>
      <w:r w:rsidRPr="002E087B">
        <w:rPr>
          <w:rFonts w:ascii="Arial" w:hAnsi="Arial" w:cs="Arial"/>
          <w:sz w:val="22"/>
          <w:szCs w:val="22"/>
        </w:rPr>
        <w:t xml:space="preserve"> no mercado, levam em conta as informações trocadas com os seus concorrentes.</w:t>
      </w:r>
    </w:p>
    <w:p w:rsidR="00D80FE6" w:rsidRPr="002E087B" w:rsidRDefault="00D80FE6" w:rsidP="002E087B">
      <w:pPr>
        <w:pStyle w:val="c05titre2"/>
        <w:spacing w:line="276" w:lineRule="auto"/>
        <w:ind w:left="0"/>
        <w:rPr>
          <w:rFonts w:ascii="Arial" w:hAnsi="Arial" w:cs="Arial"/>
          <w:sz w:val="22"/>
          <w:szCs w:val="22"/>
        </w:rPr>
      </w:pPr>
      <w:r w:rsidRPr="002E087B">
        <w:rPr>
          <w:rFonts w:ascii="Arial" w:hAnsi="Arial" w:cs="Arial"/>
          <w:sz w:val="22"/>
          <w:szCs w:val="22"/>
        </w:rPr>
        <w:t>Quanto à terceira questão</w:t>
      </w:r>
    </w:p>
    <w:p w:rsidR="00D80FE6" w:rsidRPr="002E087B" w:rsidRDefault="00D80FE6" w:rsidP="002E087B">
      <w:pPr>
        <w:pStyle w:val="c01pointnumerotealtn"/>
        <w:spacing w:line="276" w:lineRule="auto"/>
        <w:ind w:left="0"/>
        <w:rPr>
          <w:rFonts w:ascii="Arial" w:hAnsi="Arial" w:cs="Arial"/>
          <w:sz w:val="22"/>
          <w:szCs w:val="22"/>
        </w:rPr>
      </w:pPr>
      <w:bookmarkStart w:id="54" w:name="point54"/>
      <w:r w:rsidRPr="002E087B">
        <w:rPr>
          <w:rFonts w:ascii="Arial" w:hAnsi="Arial" w:cs="Arial"/>
          <w:sz w:val="22"/>
          <w:szCs w:val="22"/>
        </w:rPr>
        <w:t>54</w:t>
      </w:r>
      <w:bookmarkEnd w:id="54"/>
      <w:r w:rsidRPr="002E087B">
        <w:rPr>
          <w:rFonts w:ascii="Arial" w:hAnsi="Arial" w:cs="Arial"/>
          <w:sz w:val="22"/>
          <w:szCs w:val="22"/>
        </w:rPr>
        <w:t xml:space="preserve"> Através da terceira questão, o órgão jurisdicional de reenvio pergunta, no essencial, se, na aplicação do conceito de </w:t>
      </w:r>
      <w:proofErr w:type="gramStart"/>
      <w:r w:rsidRPr="002E087B">
        <w:rPr>
          <w:rFonts w:ascii="Arial" w:hAnsi="Arial" w:cs="Arial"/>
          <w:sz w:val="22"/>
          <w:szCs w:val="22"/>
        </w:rPr>
        <w:t>prática concertada previsto</w:t>
      </w:r>
      <w:proofErr w:type="gramEnd"/>
      <w:r w:rsidRPr="002E087B">
        <w:rPr>
          <w:rFonts w:ascii="Arial" w:hAnsi="Arial" w:cs="Arial"/>
          <w:sz w:val="22"/>
          <w:szCs w:val="22"/>
        </w:rPr>
        <w:t xml:space="preserve"> no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a presunção do nexo de causalidade entre a concertação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das empresas em causa se aplica em todos os casos, mesmo que a concertação tenha por base uma única reunião.</w:t>
      </w:r>
    </w:p>
    <w:p w:rsidR="00D80FE6" w:rsidRPr="002E087B" w:rsidRDefault="00D80FE6" w:rsidP="002E087B">
      <w:pPr>
        <w:pStyle w:val="c01pointnumerotealtn"/>
        <w:spacing w:line="276" w:lineRule="auto"/>
        <w:ind w:left="0"/>
        <w:rPr>
          <w:rFonts w:ascii="Arial" w:hAnsi="Arial" w:cs="Arial"/>
          <w:sz w:val="22"/>
          <w:szCs w:val="22"/>
        </w:rPr>
      </w:pPr>
      <w:bookmarkStart w:id="55" w:name="point55"/>
      <w:r w:rsidRPr="002E087B">
        <w:rPr>
          <w:rFonts w:ascii="Arial" w:hAnsi="Arial" w:cs="Arial"/>
          <w:sz w:val="22"/>
          <w:szCs w:val="22"/>
        </w:rPr>
        <w:lastRenderedPageBreak/>
        <w:t>55</w:t>
      </w:r>
      <w:bookmarkEnd w:id="55"/>
      <w:r w:rsidRPr="002E087B">
        <w:rPr>
          <w:rFonts w:ascii="Arial" w:hAnsi="Arial" w:cs="Arial"/>
          <w:sz w:val="22"/>
          <w:szCs w:val="22"/>
        </w:rPr>
        <w:t xml:space="preserve"> A T</w:t>
      </w:r>
      <w:r w:rsidRPr="002E087B">
        <w:rPr>
          <w:rFonts w:ascii="Arial" w:hAnsi="Arial" w:cs="Arial"/>
          <w:sz w:val="22"/>
          <w:szCs w:val="22"/>
        </w:rPr>
        <w:noBreakHyphen/>
        <w:t>Mobile, a KPN e a Vodafone consideram, no essencial, que não é possível deduzir dos acórdãos, já referidos, Comissão/</w:t>
      </w:r>
      <w:proofErr w:type="spellStart"/>
      <w:r w:rsidRPr="002E087B">
        <w:rPr>
          <w:rFonts w:ascii="Arial" w:hAnsi="Arial" w:cs="Arial"/>
          <w:sz w:val="22"/>
          <w:szCs w:val="22"/>
        </w:rPr>
        <w:t>Anic</w:t>
      </w:r>
      <w:proofErr w:type="spellEnd"/>
      <w:r w:rsidRPr="002E087B">
        <w:rPr>
          <w:rFonts w:ascii="Arial" w:hAnsi="Arial" w:cs="Arial"/>
          <w:sz w:val="22"/>
          <w:szCs w:val="22"/>
        </w:rPr>
        <w:t xml:space="preserve"> </w:t>
      </w:r>
      <w:proofErr w:type="spellStart"/>
      <w:r w:rsidRPr="002E087B">
        <w:rPr>
          <w:rFonts w:ascii="Arial" w:hAnsi="Arial" w:cs="Arial"/>
          <w:sz w:val="22"/>
          <w:szCs w:val="22"/>
        </w:rPr>
        <w:t>Partecipazioni</w:t>
      </w:r>
      <w:proofErr w:type="spellEnd"/>
      <w:r w:rsidRPr="002E087B">
        <w:rPr>
          <w:rFonts w:ascii="Arial" w:hAnsi="Arial" w:cs="Arial"/>
          <w:sz w:val="22"/>
          <w:szCs w:val="22"/>
        </w:rPr>
        <w:t xml:space="preserve"> e </w:t>
      </w:r>
      <w:proofErr w:type="spellStart"/>
      <w:r w:rsidRPr="002E087B">
        <w:rPr>
          <w:rFonts w:ascii="Arial" w:hAnsi="Arial" w:cs="Arial"/>
          <w:sz w:val="22"/>
          <w:szCs w:val="22"/>
        </w:rPr>
        <w:t>Hüls</w:t>
      </w:r>
      <w:proofErr w:type="spellEnd"/>
      <w:r w:rsidRPr="002E087B">
        <w:rPr>
          <w:rFonts w:ascii="Arial" w:hAnsi="Arial" w:cs="Arial"/>
          <w:sz w:val="22"/>
          <w:szCs w:val="22"/>
        </w:rPr>
        <w:t>/Comissão que a presunção de causalidade é aplicável em todos os casos. Segundo afirmam, a aplicação dessa presunção deve limitar</w:t>
      </w:r>
      <w:r w:rsidRPr="002E087B">
        <w:rPr>
          <w:rFonts w:ascii="Arial" w:hAnsi="Arial" w:cs="Arial"/>
          <w:sz w:val="22"/>
          <w:szCs w:val="22"/>
        </w:rPr>
        <w:noBreakHyphen/>
        <w:t xml:space="preserve">se aos casos em que os factos e circunstâncias são idênticos aos dos referidos acórdãos. Alegam essencialmente que só no caso de as empresas reunirem regularmente, sendo certo que foram trocadas informações confidenciais em reuniões anteriores, é que é possível presumir que essas empresas definiram a sua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com base na concertação. Além disso, consideram que seria irracional considerar que uma empresa pode basear a sua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em informações trocadas numa única reunião, por maioria de razão quando a reunião prossegue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lícito como acontece no processo principal.</w:t>
      </w:r>
    </w:p>
    <w:p w:rsidR="00D80FE6" w:rsidRPr="002E087B" w:rsidRDefault="00D80FE6" w:rsidP="002E087B">
      <w:pPr>
        <w:pStyle w:val="c01pointnumerotealtn"/>
        <w:spacing w:line="276" w:lineRule="auto"/>
        <w:ind w:left="0"/>
        <w:rPr>
          <w:rFonts w:ascii="Arial" w:hAnsi="Arial" w:cs="Arial"/>
          <w:sz w:val="22"/>
          <w:szCs w:val="22"/>
        </w:rPr>
      </w:pPr>
      <w:bookmarkStart w:id="56" w:name="point56"/>
      <w:r w:rsidRPr="002E087B">
        <w:rPr>
          <w:rFonts w:ascii="Arial" w:hAnsi="Arial" w:cs="Arial"/>
          <w:sz w:val="22"/>
          <w:szCs w:val="22"/>
        </w:rPr>
        <w:t>56</w:t>
      </w:r>
      <w:bookmarkEnd w:id="56"/>
      <w:r w:rsidRPr="002E087B">
        <w:rPr>
          <w:rFonts w:ascii="Arial" w:hAnsi="Arial" w:cs="Arial"/>
          <w:sz w:val="22"/>
          <w:szCs w:val="22"/>
        </w:rPr>
        <w:t xml:space="preserve"> O Governo neerlandês e a Comissão sustentam, ao invés, que resulta claramente da jurisprudência, especialmente dos acórdãos, já referidos, Comissão/</w:t>
      </w:r>
      <w:proofErr w:type="spellStart"/>
      <w:r w:rsidRPr="002E087B">
        <w:rPr>
          <w:rFonts w:ascii="Arial" w:hAnsi="Arial" w:cs="Arial"/>
          <w:sz w:val="22"/>
          <w:szCs w:val="22"/>
        </w:rPr>
        <w:t>Anic</w:t>
      </w:r>
      <w:proofErr w:type="spellEnd"/>
      <w:r w:rsidRPr="002E087B">
        <w:rPr>
          <w:rFonts w:ascii="Arial" w:hAnsi="Arial" w:cs="Arial"/>
          <w:sz w:val="22"/>
          <w:szCs w:val="22"/>
        </w:rPr>
        <w:t xml:space="preserve"> </w:t>
      </w:r>
      <w:proofErr w:type="spellStart"/>
      <w:r w:rsidRPr="002E087B">
        <w:rPr>
          <w:rFonts w:ascii="Arial" w:hAnsi="Arial" w:cs="Arial"/>
          <w:sz w:val="22"/>
          <w:szCs w:val="22"/>
        </w:rPr>
        <w:t>Partecipazioni</w:t>
      </w:r>
      <w:proofErr w:type="spellEnd"/>
      <w:r w:rsidRPr="002E087B">
        <w:rPr>
          <w:rFonts w:ascii="Arial" w:hAnsi="Arial" w:cs="Arial"/>
          <w:sz w:val="22"/>
          <w:szCs w:val="22"/>
        </w:rPr>
        <w:t xml:space="preserve"> e </w:t>
      </w:r>
      <w:proofErr w:type="spellStart"/>
      <w:r w:rsidRPr="002E087B">
        <w:rPr>
          <w:rFonts w:ascii="Arial" w:hAnsi="Arial" w:cs="Arial"/>
          <w:sz w:val="22"/>
          <w:szCs w:val="22"/>
        </w:rPr>
        <w:t>Hüls</w:t>
      </w:r>
      <w:proofErr w:type="spellEnd"/>
      <w:r w:rsidRPr="002E087B">
        <w:rPr>
          <w:rFonts w:ascii="Arial" w:hAnsi="Arial" w:cs="Arial"/>
          <w:sz w:val="22"/>
          <w:szCs w:val="22"/>
        </w:rPr>
        <w:t xml:space="preserve">/Comissão, que a presunção de causalidade não depende do número de reuniões que estiveram na base da concertação. Observam que a referida presunção se justifica se os contactos que foram feitos, tendo em conta o </w:t>
      </w:r>
      <w:proofErr w:type="spellStart"/>
      <w:r w:rsidRPr="002E087B">
        <w:rPr>
          <w:rFonts w:ascii="Arial" w:hAnsi="Arial" w:cs="Arial"/>
          <w:sz w:val="22"/>
          <w:szCs w:val="22"/>
        </w:rPr>
        <w:t>respectivo</w:t>
      </w:r>
      <w:proofErr w:type="spellEnd"/>
      <w:r w:rsidRPr="002E087B">
        <w:rPr>
          <w:rFonts w:ascii="Arial" w:hAnsi="Arial" w:cs="Arial"/>
          <w:sz w:val="22"/>
          <w:szCs w:val="22"/>
        </w:rPr>
        <w:t xml:space="preserve"> contexto, conteúdo e frequência, forem suficientes para levar à coordenação das </w:t>
      </w:r>
      <w:proofErr w:type="spellStart"/>
      <w:r w:rsidRPr="002E087B">
        <w:rPr>
          <w:rFonts w:ascii="Arial" w:hAnsi="Arial" w:cs="Arial"/>
          <w:sz w:val="22"/>
          <w:szCs w:val="22"/>
        </w:rPr>
        <w:t>actuações</w:t>
      </w:r>
      <w:proofErr w:type="spellEnd"/>
      <w:r w:rsidRPr="002E087B">
        <w:rPr>
          <w:rFonts w:ascii="Arial" w:hAnsi="Arial" w:cs="Arial"/>
          <w:sz w:val="22"/>
          <w:szCs w:val="22"/>
        </w:rPr>
        <w:t xml:space="preserve"> no mercado </w:t>
      </w:r>
      <w:proofErr w:type="spellStart"/>
      <w:r w:rsidRPr="002E087B">
        <w:rPr>
          <w:rFonts w:ascii="Arial" w:hAnsi="Arial" w:cs="Arial"/>
          <w:sz w:val="22"/>
          <w:szCs w:val="22"/>
        </w:rPr>
        <w:t>susceptíveis</w:t>
      </w:r>
      <w:proofErr w:type="spellEnd"/>
      <w:r w:rsidRPr="002E087B">
        <w:rPr>
          <w:rFonts w:ascii="Arial" w:hAnsi="Arial" w:cs="Arial"/>
          <w:sz w:val="22"/>
          <w:szCs w:val="22"/>
        </w:rPr>
        <w:t xml:space="preserve"> de impedir, restringir ou falsear a concorrência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e se, por outro lado, as empresas envolvidas se tiverem mantido </w:t>
      </w:r>
      <w:proofErr w:type="spellStart"/>
      <w:r w:rsidRPr="002E087B">
        <w:rPr>
          <w:rFonts w:ascii="Arial" w:hAnsi="Arial" w:cs="Arial"/>
          <w:sz w:val="22"/>
          <w:szCs w:val="22"/>
        </w:rPr>
        <w:t>activas</w:t>
      </w:r>
      <w:proofErr w:type="spellEnd"/>
      <w:r w:rsidRPr="002E087B">
        <w:rPr>
          <w:rFonts w:ascii="Arial" w:hAnsi="Arial" w:cs="Arial"/>
          <w:sz w:val="22"/>
          <w:szCs w:val="22"/>
        </w:rPr>
        <w:t xml:space="preserve"> no mercado.</w:t>
      </w:r>
    </w:p>
    <w:p w:rsidR="00D80FE6" w:rsidRPr="002E087B" w:rsidRDefault="00D80FE6" w:rsidP="002E087B">
      <w:pPr>
        <w:pStyle w:val="c01pointnumerotealtn"/>
        <w:spacing w:line="276" w:lineRule="auto"/>
        <w:ind w:left="0"/>
        <w:rPr>
          <w:rFonts w:ascii="Arial" w:hAnsi="Arial" w:cs="Arial"/>
          <w:sz w:val="22"/>
          <w:szCs w:val="22"/>
        </w:rPr>
      </w:pPr>
      <w:bookmarkStart w:id="57" w:name="point57"/>
      <w:r w:rsidRPr="002E087B">
        <w:rPr>
          <w:rFonts w:ascii="Arial" w:hAnsi="Arial" w:cs="Arial"/>
          <w:sz w:val="22"/>
          <w:szCs w:val="22"/>
        </w:rPr>
        <w:t>57</w:t>
      </w:r>
      <w:bookmarkEnd w:id="57"/>
      <w:r w:rsidRPr="002E087B">
        <w:rPr>
          <w:rFonts w:ascii="Arial" w:hAnsi="Arial" w:cs="Arial"/>
          <w:sz w:val="22"/>
          <w:szCs w:val="22"/>
        </w:rPr>
        <w:t xml:space="preserve"> Segundo o Governo neerlandês, o processo principal é uma ilustração perfeita da possibilidade de uma única reunião bastar para haver uma concertação. Por um lado, a reunião de 13 de Junho de 2001 permitiu que os operadores envolvidos se concertassem sobre a redução das remunerações dos revendedores. Por outro, esta reunião também permitiu eliminar as incertezas quanto à questão de saber que operador reduziria os seus custos de recrutamento, quando e em que medida o faria, bem como quanto ao prazo dentro do qual os outros operadores agiriam da mesma forma.</w:t>
      </w:r>
    </w:p>
    <w:p w:rsidR="00D80FE6" w:rsidRPr="002E087B" w:rsidRDefault="00D80FE6" w:rsidP="002E087B">
      <w:pPr>
        <w:pStyle w:val="c01pointnumerotealtn"/>
        <w:spacing w:line="276" w:lineRule="auto"/>
        <w:ind w:left="0"/>
        <w:rPr>
          <w:rFonts w:ascii="Arial" w:hAnsi="Arial" w:cs="Arial"/>
          <w:sz w:val="22"/>
          <w:szCs w:val="22"/>
        </w:rPr>
      </w:pPr>
      <w:bookmarkStart w:id="58" w:name="point58"/>
      <w:r w:rsidRPr="002E087B">
        <w:rPr>
          <w:rFonts w:ascii="Arial" w:hAnsi="Arial" w:cs="Arial"/>
          <w:sz w:val="22"/>
          <w:szCs w:val="22"/>
        </w:rPr>
        <w:t>58</w:t>
      </w:r>
      <w:bookmarkEnd w:id="58"/>
      <w:r w:rsidRPr="002E087B">
        <w:rPr>
          <w:rFonts w:ascii="Arial" w:hAnsi="Arial" w:cs="Arial"/>
          <w:sz w:val="22"/>
          <w:szCs w:val="22"/>
        </w:rPr>
        <w:t xml:space="preserve"> A este respeito, refira</w:t>
      </w:r>
      <w:r w:rsidRPr="002E087B">
        <w:rPr>
          <w:rFonts w:ascii="Arial" w:hAnsi="Arial" w:cs="Arial"/>
          <w:sz w:val="22"/>
          <w:szCs w:val="22"/>
        </w:rPr>
        <w:noBreakHyphen/>
        <w:t xml:space="preserve">se que decorre dos </w:t>
      </w:r>
      <w:proofErr w:type="spellStart"/>
      <w:r w:rsidRPr="002E087B">
        <w:rPr>
          <w:rFonts w:ascii="Arial" w:hAnsi="Arial" w:cs="Arial"/>
          <w:sz w:val="22"/>
          <w:szCs w:val="22"/>
        </w:rPr>
        <w:t>n.</w:t>
      </w:r>
      <w:r w:rsidRPr="002E087B">
        <w:rPr>
          <w:rFonts w:ascii="Arial" w:hAnsi="Arial" w:cs="Arial"/>
          <w:sz w:val="22"/>
          <w:szCs w:val="22"/>
          <w:vertAlign w:val="superscript"/>
        </w:rPr>
        <w:t>os</w:t>
      </w:r>
      <w:proofErr w:type="spellEnd"/>
      <w:r w:rsidRPr="002E087B">
        <w:rPr>
          <w:rFonts w:ascii="Arial" w:hAnsi="Arial" w:cs="Arial"/>
          <w:sz w:val="22"/>
          <w:szCs w:val="22"/>
        </w:rPr>
        <w:t xml:space="preserve"> 121 do acórdão Comissão/</w:t>
      </w:r>
      <w:proofErr w:type="spellStart"/>
      <w:r w:rsidRPr="002E087B">
        <w:rPr>
          <w:rFonts w:ascii="Arial" w:hAnsi="Arial" w:cs="Arial"/>
          <w:sz w:val="22"/>
          <w:szCs w:val="22"/>
        </w:rPr>
        <w:t>Anic</w:t>
      </w:r>
      <w:proofErr w:type="spellEnd"/>
      <w:r w:rsidRPr="002E087B">
        <w:rPr>
          <w:rFonts w:ascii="Arial" w:hAnsi="Arial" w:cs="Arial"/>
          <w:sz w:val="22"/>
          <w:szCs w:val="22"/>
        </w:rPr>
        <w:t xml:space="preserve"> </w:t>
      </w:r>
      <w:proofErr w:type="spellStart"/>
      <w:r w:rsidRPr="002E087B">
        <w:rPr>
          <w:rFonts w:ascii="Arial" w:hAnsi="Arial" w:cs="Arial"/>
          <w:sz w:val="22"/>
          <w:szCs w:val="22"/>
        </w:rPr>
        <w:t>Partecipazioni</w:t>
      </w:r>
      <w:proofErr w:type="spellEnd"/>
      <w:r w:rsidRPr="002E087B">
        <w:rPr>
          <w:rFonts w:ascii="Arial" w:hAnsi="Arial" w:cs="Arial"/>
          <w:sz w:val="22"/>
          <w:szCs w:val="22"/>
        </w:rPr>
        <w:t xml:space="preserve">, já referido, e 162 do acórdão </w:t>
      </w:r>
      <w:proofErr w:type="spellStart"/>
      <w:r w:rsidRPr="002E087B">
        <w:rPr>
          <w:rFonts w:ascii="Arial" w:hAnsi="Arial" w:cs="Arial"/>
          <w:sz w:val="22"/>
          <w:szCs w:val="22"/>
        </w:rPr>
        <w:t>Hüls</w:t>
      </w:r>
      <w:proofErr w:type="spellEnd"/>
      <w:r w:rsidRPr="002E087B">
        <w:rPr>
          <w:rFonts w:ascii="Arial" w:hAnsi="Arial" w:cs="Arial"/>
          <w:sz w:val="22"/>
          <w:szCs w:val="22"/>
        </w:rPr>
        <w:t xml:space="preserve">/Comissão, já referido, que o Tribunal de Justiça fez apenas depender a aplicação da referida presunção da existência de uma concertação e do facto de a empresa ter permanecido </w:t>
      </w:r>
      <w:proofErr w:type="spellStart"/>
      <w:r w:rsidRPr="002E087B">
        <w:rPr>
          <w:rFonts w:ascii="Arial" w:hAnsi="Arial" w:cs="Arial"/>
          <w:sz w:val="22"/>
          <w:szCs w:val="22"/>
        </w:rPr>
        <w:t>activa</w:t>
      </w:r>
      <w:proofErr w:type="spellEnd"/>
      <w:r w:rsidRPr="002E087B">
        <w:rPr>
          <w:rFonts w:ascii="Arial" w:hAnsi="Arial" w:cs="Arial"/>
          <w:sz w:val="22"/>
          <w:szCs w:val="22"/>
        </w:rPr>
        <w:t xml:space="preserve"> no mercado. O facto de terem sido acrescentados os termos </w:t>
      </w:r>
      <w:proofErr w:type="gramStart"/>
      <w:r w:rsidRPr="002E087B">
        <w:rPr>
          <w:rFonts w:ascii="Arial" w:hAnsi="Arial" w:cs="Arial"/>
          <w:sz w:val="22"/>
          <w:szCs w:val="22"/>
        </w:rPr>
        <w:t>«[i</w:t>
      </w:r>
      <w:proofErr w:type="gramEnd"/>
      <w:r w:rsidRPr="002E087B">
        <w:rPr>
          <w:rFonts w:ascii="Arial" w:hAnsi="Arial" w:cs="Arial"/>
          <w:sz w:val="22"/>
          <w:szCs w:val="22"/>
        </w:rPr>
        <w:t>]</w:t>
      </w:r>
      <w:proofErr w:type="spellStart"/>
      <w:r w:rsidRPr="002E087B">
        <w:rPr>
          <w:rFonts w:ascii="Arial" w:hAnsi="Arial" w:cs="Arial"/>
          <w:sz w:val="22"/>
          <w:szCs w:val="22"/>
        </w:rPr>
        <w:t>sto</w:t>
      </w:r>
      <w:proofErr w:type="spellEnd"/>
      <w:r w:rsidRPr="002E087B">
        <w:rPr>
          <w:rFonts w:ascii="Arial" w:hAnsi="Arial" w:cs="Arial"/>
          <w:sz w:val="22"/>
          <w:szCs w:val="22"/>
        </w:rPr>
        <w:t xml:space="preserve"> é tanto mais certo quanto a concertação ocorra regularmente durante um longo período», longe de servir de base à tese segundo a qual a presunção de causalidade é unicamente aplicável se as empresas se reunirem regularmente, deve necessariamente ser interpretado no sentido de que essa presunção é reforçada quando as empresas concertaram a sua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regularmente durante um longo período.</w:t>
      </w:r>
    </w:p>
    <w:p w:rsidR="00D80FE6" w:rsidRPr="002E087B" w:rsidRDefault="00D80FE6" w:rsidP="002E087B">
      <w:pPr>
        <w:pStyle w:val="c01pointnumerotealtn"/>
        <w:spacing w:line="276" w:lineRule="auto"/>
        <w:ind w:left="0"/>
        <w:rPr>
          <w:rFonts w:ascii="Arial" w:hAnsi="Arial" w:cs="Arial"/>
          <w:sz w:val="22"/>
          <w:szCs w:val="22"/>
        </w:rPr>
      </w:pPr>
      <w:bookmarkStart w:id="59" w:name="point59"/>
      <w:r w:rsidRPr="002E087B">
        <w:rPr>
          <w:rFonts w:ascii="Arial" w:hAnsi="Arial" w:cs="Arial"/>
          <w:sz w:val="22"/>
          <w:szCs w:val="22"/>
        </w:rPr>
        <w:t>59</w:t>
      </w:r>
      <w:bookmarkEnd w:id="59"/>
      <w:r w:rsidRPr="002E087B">
        <w:rPr>
          <w:rFonts w:ascii="Arial" w:hAnsi="Arial" w:cs="Arial"/>
          <w:sz w:val="22"/>
          <w:szCs w:val="22"/>
        </w:rPr>
        <w:t xml:space="preserve"> Qualquer outra interpretação equivaleria, no essencial, a considerar que uma única troca de informações entre concorrentes nunca pode levar a uma concertação contrária às regras da concorrência enunciadas pelo Tratado. Ora, não está excluído que, consoante a estrutura do mercado, um único contacto, como o que está em causa no processo principal, possa bastar, em princípio, para que as empresas envolvidas </w:t>
      </w:r>
      <w:r w:rsidRPr="002E087B">
        <w:rPr>
          <w:rFonts w:ascii="Arial" w:hAnsi="Arial" w:cs="Arial"/>
          <w:sz w:val="22"/>
          <w:szCs w:val="22"/>
        </w:rPr>
        <w:lastRenderedPageBreak/>
        <w:t xml:space="preserve">concertem a sua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e cheguem assim a uma cooperação prática que se substitui à concorrência e aos riscos que esta envolve.</w:t>
      </w:r>
    </w:p>
    <w:p w:rsidR="00D80FE6" w:rsidRPr="002E087B" w:rsidRDefault="00D80FE6" w:rsidP="002E087B">
      <w:pPr>
        <w:pStyle w:val="c01pointnumerotealtn"/>
        <w:spacing w:line="276" w:lineRule="auto"/>
        <w:ind w:left="0"/>
        <w:rPr>
          <w:rFonts w:ascii="Arial" w:hAnsi="Arial" w:cs="Arial"/>
          <w:sz w:val="22"/>
          <w:szCs w:val="22"/>
        </w:rPr>
      </w:pPr>
      <w:bookmarkStart w:id="60" w:name="point60"/>
      <w:r w:rsidRPr="002E087B">
        <w:rPr>
          <w:rFonts w:ascii="Arial" w:hAnsi="Arial" w:cs="Arial"/>
          <w:sz w:val="22"/>
          <w:szCs w:val="22"/>
        </w:rPr>
        <w:t>60</w:t>
      </w:r>
      <w:bookmarkEnd w:id="60"/>
      <w:r w:rsidRPr="002E087B">
        <w:rPr>
          <w:rFonts w:ascii="Arial" w:hAnsi="Arial" w:cs="Arial"/>
          <w:sz w:val="22"/>
          <w:szCs w:val="22"/>
        </w:rPr>
        <w:t xml:space="preserve"> Como referiram com razão o Governo neerlandês e a advogada</w:t>
      </w:r>
      <w:r w:rsidRPr="002E087B">
        <w:rPr>
          <w:rFonts w:ascii="Arial" w:hAnsi="Arial" w:cs="Arial"/>
          <w:sz w:val="22"/>
          <w:szCs w:val="22"/>
        </w:rPr>
        <w:noBreakHyphen/>
        <w:t xml:space="preserve">geral nos </w:t>
      </w:r>
      <w:proofErr w:type="spellStart"/>
      <w:r w:rsidRPr="002E087B">
        <w:rPr>
          <w:rFonts w:ascii="Arial" w:hAnsi="Arial" w:cs="Arial"/>
          <w:sz w:val="22"/>
          <w:szCs w:val="22"/>
        </w:rPr>
        <w:t>n.</w:t>
      </w:r>
      <w:r w:rsidRPr="002E087B">
        <w:rPr>
          <w:rFonts w:ascii="Arial" w:hAnsi="Arial" w:cs="Arial"/>
          <w:sz w:val="22"/>
          <w:szCs w:val="22"/>
          <w:vertAlign w:val="superscript"/>
        </w:rPr>
        <w:t>os</w:t>
      </w:r>
      <w:proofErr w:type="spellEnd"/>
      <w:r w:rsidRPr="002E087B">
        <w:rPr>
          <w:rFonts w:ascii="Arial" w:hAnsi="Arial" w:cs="Arial"/>
          <w:sz w:val="22"/>
          <w:szCs w:val="22"/>
        </w:rPr>
        <w:t xml:space="preserve"> 104 e 105 das suas conclusões, são tanto o </w:t>
      </w:r>
      <w:proofErr w:type="spellStart"/>
      <w:r w:rsidRPr="002E087B">
        <w:rPr>
          <w:rFonts w:ascii="Arial" w:hAnsi="Arial" w:cs="Arial"/>
          <w:sz w:val="22"/>
          <w:szCs w:val="22"/>
        </w:rPr>
        <w:t>objecto</w:t>
      </w:r>
      <w:proofErr w:type="spellEnd"/>
      <w:r w:rsidRPr="002E087B">
        <w:rPr>
          <w:rFonts w:ascii="Arial" w:hAnsi="Arial" w:cs="Arial"/>
          <w:sz w:val="22"/>
          <w:szCs w:val="22"/>
        </w:rPr>
        <w:t xml:space="preserve"> da concertação como as especificidades do mercado que explicam a frequência e a periodicidade com que os concorrentes entram em contacto uns com os outros, bem como o modo como o fazem, para conseguirem uma concertação da sua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Com efeito, se as empresas envolvidas criarem um cartel com um sistema complexo de concertação sobre uma variedade de </w:t>
      </w:r>
      <w:proofErr w:type="spellStart"/>
      <w:r w:rsidRPr="002E087B">
        <w:rPr>
          <w:rFonts w:ascii="Arial" w:hAnsi="Arial" w:cs="Arial"/>
          <w:sz w:val="22"/>
          <w:szCs w:val="22"/>
        </w:rPr>
        <w:t>aspectos</w:t>
      </w:r>
      <w:proofErr w:type="spellEnd"/>
      <w:r w:rsidRPr="002E087B">
        <w:rPr>
          <w:rFonts w:ascii="Arial" w:hAnsi="Arial" w:cs="Arial"/>
          <w:sz w:val="22"/>
          <w:szCs w:val="22"/>
        </w:rPr>
        <w:t xml:space="preserve"> da sua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poderão ser necessários contactos regulares durante um longo período de tempo. Se, pelo contrário, como no processo principal, a concertação for pontual e tiver por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uma harmonização única da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relativamente a um único parâmetro da concorrência, um só contacto entre os concorrentes pode ser suficiente para realizar o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das empresas envolvidas.</w:t>
      </w:r>
    </w:p>
    <w:p w:rsidR="00D80FE6" w:rsidRPr="002E087B" w:rsidRDefault="00D80FE6" w:rsidP="002E087B">
      <w:pPr>
        <w:pStyle w:val="c01pointnumerotealtn"/>
        <w:spacing w:line="276" w:lineRule="auto"/>
        <w:ind w:left="0"/>
        <w:rPr>
          <w:rFonts w:ascii="Arial" w:hAnsi="Arial" w:cs="Arial"/>
          <w:sz w:val="22"/>
          <w:szCs w:val="22"/>
        </w:rPr>
      </w:pPr>
      <w:bookmarkStart w:id="61" w:name="point61"/>
      <w:r w:rsidRPr="002E087B">
        <w:rPr>
          <w:rFonts w:ascii="Arial" w:hAnsi="Arial" w:cs="Arial"/>
          <w:sz w:val="22"/>
          <w:szCs w:val="22"/>
        </w:rPr>
        <w:t>61</w:t>
      </w:r>
      <w:bookmarkEnd w:id="61"/>
      <w:r w:rsidRPr="002E087B">
        <w:rPr>
          <w:rFonts w:ascii="Arial" w:hAnsi="Arial" w:cs="Arial"/>
          <w:sz w:val="22"/>
          <w:szCs w:val="22"/>
        </w:rPr>
        <w:t xml:space="preserve"> Nestas condições, há que considerar que o que importa não é tanto o número de reuniões entre as empresas envolvidas quanto a questão de saber se o ou os contactos que tiveram lugar deram a possibilidade às empresas de levar em linha de conta as informações trocadas com os seus concorrentes para determinar a sua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de referência e de substituir cientemente uma cooperação prática entre elas aos riscos da concorrência. Se puder ser demonstrado que essas empresas chegaram a uma concertação e que se mantiveram </w:t>
      </w:r>
      <w:proofErr w:type="spellStart"/>
      <w:r w:rsidRPr="002E087B">
        <w:rPr>
          <w:rFonts w:ascii="Arial" w:hAnsi="Arial" w:cs="Arial"/>
          <w:sz w:val="22"/>
          <w:szCs w:val="22"/>
        </w:rPr>
        <w:t>activas</w:t>
      </w:r>
      <w:proofErr w:type="spellEnd"/>
      <w:r w:rsidRPr="002E087B">
        <w:rPr>
          <w:rFonts w:ascii="Arial" w:hAnsi="Arial" w:cs="Arial"/>
          <w:sz w:val="22"/>
          <w:szCs w:val="22"/>
        </w:rPr>
        <w:t xml:space="preserve"> nesse mercado, justifica</w:t>
      </w:r>
      <w:r w:rsidRPr="002E087B">
        <w:rPr>
          <w:rFonts w:ascii="Arial" w:hAnsi="Arial" w:cs="Arial"/>
          <w:sz w:val="22"/>
          <w:szCs w:val="22"/>
        </w:rPr>
        <w:noBreakHyphen/>
        <w:t xml:space="preserve">se que se lhes exija a prova de que essa concertação não influenciou a sua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referido mercado.</w:t>
      </w:r>
    </w:p>
    <w:p w:rsidR="00D80FE6" w:rsidRPr="002E087B" w:rsidRDefault="00D80FE6" w:rsidP="002E087B">
      <w:pPr>
        <w:pStyle w:val="c01pointnumerotealtn"/>
        <w:spacing w:line="276" w:lineRule="auto"/>
        <w:ind w:left="0"/>
        <w:rPr>
          <w:rFonts w:ascii="Arial" w:hAnsi="Arial" w:cs="Arial"/>
          <w:sz w:val="22"/>
          <w:szCs w:val="22"/>
        </w:rPr>
      </w:pPr>
      <w:bookmarkStart w:id="62" w:name="point62"/>
      <w:r w:rsidRPr="002E087B">
        <w:rPr>
          <w:rFonts w:ascii="Arial" w:hAnsi="Arial" w:cs="Arial"/>
          <w:sz w:val="22"/>
          <w:szCs w:val="22"/>
        </w:rPr>
        <w:t>62</w:t>
      </w:r>
      <w:bookmarkEnd w:id="62"/>
      <w:r w:rsidRPr="002E087B">
        <w:rPr>
          <w:rFonts w:ascii="Arial" w:hAnsi="Arial" w:cs="Arial"/>
          <w:sz w:val="22"/>
          <w:szCs w:val="22"/>
        </w:rPr>
        <w:t xml:space="preserve"> Face ao exposto, há que responder à terceira questão que, na medida em que a empresa que participa na concertação permaneça </w:t>
      </w:r>
      <w:proofErr w:type="spellStart"/>
      <w:r w:rsidRPr="002E087B">
        <w:rPr>
          <w:rFonts w:ascii="Arial" w:hAnsi="Arial" w:cs="Arial"/>
          <w:sz w:val="22"/>
          <w:szCs w:val="22"/>
        </w:rPr>
        <w:t>activa</w:t>
      </w:r>
      <w:proofErr w:type="spellEnd"/>
      <w:r w:rsidRPr="002E087B">
        <w:rPr>
          <w:rFonts w:ascii="Arial" w:hAnsi="Arial" w:cs="Arial"/>
          <w:sz w:val="22"/>
          <w:szCs w:val="22"/>
        </w:rPr>
        <w:t xml:space="preserve"> no mercado de referência, a presunção do nexo de causalidade entre a concertação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dessa empresa é aplicável mesmo que a concertação se baseie numa única reunião das empresas em causa.</w:t>
      </w:r>
    </w:p>
    <w:p w:rsidR="00D80FE6" w:rsidRPr="002E087B" w:rsidRDefault="00D80FE6" w:rsidP="002E087B">
      <w:pPr>
        <w:pStyle w:val="c04titre1"/>
        <w:spacing w:line="276" w:lineRule="auto"/>
        <w:ind w:left="0"/>
        <w:rPr>
          <w:rFonts w:ascii="Arial" w:hAnsi="Arial" w:cs="Arial"/>
          <w:sz w:val="22"/>
          <w:szCs w:val="22"/>
        </w:rPr>
      </w:pPr>
      <w:r w:rsidRPr="002E087B">
        <w:rPr>
          <w:rFonts w:ascii="Arial" w:hAnsi="Arial" w:cs="Arial"/>
          <w:sz w:val="22"/>
          <w:szCs w:val="22"/>
        </w:rPr>
        <w:t>Quanto às despesas</w:t>
      </w:r>
    </w:p>
    <w:p w:rsidR="00D80FE6" w:rsidRPr="002E087B" w:rsidRDefault="00D80FE6" w:rsidP="002E087B">
      <w:pPr>
        <w:pStyle w:val="c01pointnumerotealtn"/>
        <w:spacing w:line="276" w:lineRule="auto"/>
        <w:ind w:left="0"/>
        <w:rPr>
          <w:rFonts w:ascii="Arial" w:hAnsi="Arial" w:cs="Arial"/>
          <w:sz w:val="22"/>
          <w:szCs w:val="22"/>
        </w:rPr>
      </w:pPr>
      <w:bookmarkStart w:id="63" w:name="point63"/>
      <w:r w:rsidRPr="002E087B">
        <w:rPr>
          <w:rFonts w:ascii="Arial" w:hAnsi="Arial" w:cs="Arial"/>
          <w:sz w:val="22"/>
          <w:szCs w:val="22"/>
        </w:rPr>
        <w:t>63</w:t>
      </w:r>
      <w:bookmarkEnd w:id="63"/>
      <w:r w:rsidRPr="002E087B">
        <w:rPr>
          <w:rFonts w:ascii="Arial" w:hAnsi="Arial" w:cs="Arial"/>
          <w:sz w:val="22"/>
          <w:szCs w:val="22"/>
        </w:rPr>
        <w:t xml:space="preserve"> Revestindo o processo, quanto às partes na causa principal, a natureza de incidente suscitado perante o órgão jurisdicional de reenvio, compete a este decidir quanto às despesas. As despesas </w:t>
      </w:r>
      <w:proofErr w:type="spellStart"/>
      <w:r w:rsidRPr="002E087B">
        <w:rPr>
          <w:rFonts w:ascii="Arial" w:hAnsi="Arial" w:cs="Arial"/>
          <w:sz w:val="22"/>
          <w:szCs w:val="22"/>
        </w:rPr>
        <w:t>efectuadas</w:t>
      </w:r>
      <w:proofErr w:type="spellEnd"/>
      <w:r w:rsidRPr="002E087B">
        <w:rPr>
          <w:rFonts w:ascii="Arial" w:hAnsi="Arial" w:cs="Arial"/>
          <w:sz w:val="22"/>
          <w:szCs w:val="22"/>
        </w:rPr>
        <w:t xml:space="preserve"> pelas outras partes para a apresentação de observações ao Tribunal de Justiça não são reembolsáveis.</w:t>
      </w:r>
    </w:p>
    <w:p w:rsidR="00D80FE6" w:rsidRPr="002E087B" w:rsidRDefault="00D80FE6" w:rsidP="002E087B">
      <w:pPr>
        <w:pStyle w:val="c41dispositifintroduction"/>
        <w:spacing w:line="276" w:lineRule="auto"/>
        <w:rPr>
          <w:rFonts w:ascii="Arial" w:hAnsi="Arial" w:cs="Arial"/>
          <w:sz w:val="22"/>
          <w:szCs w:val="22"/>
        </w:rPr>
      </w:pPr>
      <w:r w:rsidRPr="002E087B">
        <w:rPr>
          <w:rFonts w:ascii="Arial" w:hAnsi="Arial" w:cs="Arial"/>
          <w:sz w:val="22"/>
          <w:szCs w:val="22"/>
        </w:rPr>
        <w:t>Pelos fundamentos expostos, o Tribunal de Justiça (Terceira Secção) declara:</w:t>
      </w:r>
    </w:p>
    <w:p w:rsidR="00D80FE6" w:rsidRPr="002E087B" w:rsidRDefault="00D80FE6" w:rsidP="002E087B">
      <w:pPr>
        <w:pStyle w:val="c08dispositif"/>
        <w:spacing w:line="276" w:lineRule="auto"/>
        <w:ind w:left="0"/>
        <w:rPr>
          <w:rFonts w:ascii="Arial" w:hAnsi="Arial" w:cs="Arial"/>
          <w:sz w:val="22"/>
          <w:szCs w:val="22"/>
        </w:rPr>
      </w:pPr>
      <w:r w:rsidRPr="002E087B">
        <w:rPr>
          <w:rFonts w:ascii="Arial" w:hAnsi="Arial" w:cs="Arial"/>
          <w:sz w:val="22"/>
          <w:szCs w:val="22"/>
        </w:rPr>
        <w:t xml:space="preserve">1) Uma prática concertada tem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CE quando, devido ao seu teor e à sua finalidade e tendo em conta o contexto jurídico e económico em que se insere, é concretamente apta a impedir, restringir ou falsear a concorrência no mercado comum. Não é necessário que a concorrência seja </w:t>
      </w:r>
      <w:proofErr w:type="spellStart"/>
      <w:r w:rsidRPr="002E087B">
        <w:rPr>
          <w:rFonts w:ascii="Arial" w:hAnsi="Arial" w:cs="Arial"/>
          <w:sz w:val="22"/>
          <w:szCs w:val="22"/>
        </w:rPr>
        <w:t>efectivamente</w:t>
      </w:r>
      <w:proofErr w:type="spellEnd"/>
      <w:r w:rsidRPr="002E087B">
        <w:rPr>
          <w:rFonts w:ascii="Arial" w:hAnsi="Arial" w:cs="Arial"/>
          <w:sz w:val="22"/>
          <w:szCs w:val="22"/>
        </w:rPr>
        <w:t xml:space="preserve"> impedida, restringida ou falseada nem que haja uma ligação </w:t>
      </w:r>
      <w:proofErr w:type="spellStart"/>
      <w:r w:rsidRPr="002E087B">
        <w:rPr>
          <w:rFonts w:ascii="Arial" w:hAnsi="Arial" w:cs="Arial"/>
          <w:sz w:val="22"/>
          <w:szCs w:val="22"/>
        </w:rPr>
        <w:t>directa</w:t>
      </w:r>
      <w:proofErr w:type="spellEnd"/>
      <w:r w:rsidRPr="002E087B">
        <w:rPr>
          <w:rFonts w:ascii="Arial" w:hAnsi="Arial" w:cs="Arial"/>
          <w:sz w:val="22"/>
          <w:szCs w:val="22"/>
        </w:rPr>
        <w:t xml:space="preserve"> entre essa prática concertada e os </w:t>
      </w:r>
      <w:r w:rsidRPr="002E087B">
        <w:rPr>
          <w:rFonts w:ascii="Arial" w:hAnsi="Arial" w:cs="Arial"/>
          <w:sz w:val="22"/>
          <w:szCs w:val="22"/>
        </w:rPr>
        <w:lastRenderedPageBreak/>
        <w:t xml:space="preserve">preços finais de venda ao consumidor. A troca de informações entre concorrentes tem um </w:t>
      </w:r>
      <w:proofErr w:type="spellStart"/>
      <w:r w:rsidRPr="002E087B">
        <w:rPr>
          <w:rFonts w:ascii="Arial" w:hAnsi="Arial" w:cs="Arial"/>
          <w:sz w:val="22"/>
          <w:szCs w:val="22"/>
        </w:rPr>
        <w:t>objectivo</w:t>
      </w:r>
      <w:proofErr w:type="spellEnd"/>
      <w:r w:rsidRPr="002E087B">
        <w:rPr>
          <w:rFonts w:ascii="Arial" w:hAnsi="Arial" w:cs="Arial"/>
          <w:sz w:val="22"/>
          <w:szCs w:val="22"/>
        </w:rPr>
        <w:t xml:space="preserve"> </w:t>
      </w:r>
      <w:proofErr w:type="spellStart"/>
      <w:r w:rsidRPr="002E087B">
        <w:rPr>
          <w:rFonts w:ascii="Arial" w:hAnsi="Arial" w:cs="Arial"/>
          <w:sz w:val="22"/>
          <w:szCs w:val="22"/>
        </w:rPr>
        <w:t>anticoncorrencial</w:t>
      </w:r>
      <w:proofErr w:type="spellEnd"/>
      <w:r w:rsidRPr="002E087B">
        <w:rPr>
          <w:rFonts w:ascii="Arial" w:hAnsi="Arial" w:cs="Arial"/>
          <w:sz w:val="22"/>
          <w:szCs w:val="22"/>
        </w:rPr>
        <w:t xml:space="preserve"> quando é </w:t>
      </w:r>
      <w:proofErr w:type="spellStart"/>
      <w:r w:rsidRPr="002E087B">
        <w:rPr>
          <w:rFonts w:ascii="Arial" w:hAnsi="Arial" w:cs="Arial"/>
          <w:sz w:val="22"/>
          <w:szCs w:val="22"/>
        </w:rPr>
        <w:t>susceptível</w:t>
      </w:r>
      <w:proofErr w:type="spellEnd"/>
      <w:r w:rsidRPr="002E087B">
        <w:rPr>
          <w:rFonts w:ascii="Arial" w:hAnsi="Arial" w:cs="Arial"/>
          <w:sz w:val="22"/>
          <w:szCs w:val="22"/>
        </w:rPr>
        <w:t xml:space="preserve"> de eliminar as incertezas quanto à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planeada pelas empresas em causa.</w:t>
      </w:r>
    </w:p>
    <w:p w:rsidR="00D80FE6" w:rsidRPr="002E087B" w:rsidRDefault="00D80FE6" w:rsidP="002E087B">
      <w:pPr>
        <w:pStyle w:val="c08dispositif"/>
        <w:spacing w:line="276" w:lineRule="auto"/>
        <w:ind w:left="0"/>
        <w:rPr>
          <w:rFonts w:ascii="Arial" w:hAnsi="Arial" w:cs="Arial"/>
          <w:sz w:val="22"/>
          <w:szCs w:val="22"/>
        </w:rPr>
      </w:pPr>
      <w:r w:rsidRPr="002E087B">
        <w:rPr>
          <w:rFonts w:ascii="Arial" w:hAnsi="Arial" w:cs="Arial"/>
          <w:sz w:val="22"/>
          <w:szCs w:val="22"/>
        </w:rPr>
        <w:t xml:space="preserve">2) No âmbito da análise do nexo de causalidade entre a concertação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das empresas que participam nessa concertação, nexo este que é exigido para demonstrar a existência de uma prática concertada na </w:t>
      </w:r>
      <w:proofErr w:type="spellStart"/>
      <w:r w:rsidRPr="002E087B">
        <w:rPr>
          <w:rFonts w:ascii="Arial" w:hAnsi="Arial" w:cs="Arial"/>
          <w:sz w:val="22"/>
          <w:szCs w:val="22"/>
        </w:rPr>
        <w:t>acepção</w:t>
      </w:r>
      <w:proofErr w:type="spellEnd"/>
      <w:r w:rsidRPr="002E087B">
        <w:rPr>
          <w:rFonts w:ascii="Arial" w:hAnsi="Arial" w:cs="Arial"/>
          <w:sz w:val="22"/>
          <w:szCs w:val="22"/>
        </w:rPr>
        <w:t xml:space="preserve"> do artigo 81.°, </w:t>
      </w:r>
      <w:proofErr w:type="spellStart"/>
      <w:proofErr w:type="gramStart"/>
      <w:r w:rsidRPr="002E087B">
        <w:rPr>
          <w:rFonts w:ascii="Arial" w:hAnsi="Arial" w:cs="Arial"/>
          <w:sz w:val="22"/>
          <w:szCs w:val="22"/>
        </w:rPr>
        <w:t>n</w:t>
      </w:r>
      <w:proofErr w:type="gramEnd"/>
      <w:r w:rsidRPr="002E087B">
        <w:rPr>
          <w:rFonts w:ascii="Arial" w:hAnsi="Arial" w:cs="Arial"/>
          <w:sz w:val="22"/>
          <w:szCs w:val="22"/>
        </w:rPr>
        <w:t>.°</w:t>
      </w:r>
      <w:proofErr w:type="spellEnd"/>
      <w:r w:rsidRPr="002E087B">
        <w:rPr>
          <w:rFonts w:ascii="Arial" w:hAnsi="Arial" w:cs="Arial"/>
          <w:sz w:val="22"/>
          <w:szCs w:val="22"/>
        </w:rPr>
        <w:t xml:space="preserve"> 1, </w:t>
      </w:r>
      <w:proofErr w:type="gramStart"/>
      <w:r w:rsidRPr="002E087B">
        <w:rPr>
          <w:rFonts w:ascii="Arial" w:hAnsi="Arial" w:cs="Arial"/>
          <w:sz w:val="22"/>
          <w:szCs w:val="22"/>
        </w:rPr>
        <w:t>CE, o juiz nacional é obrigado</w:t>
      </w:r>
      <w:proofErr w:type="gramEnd"/>
      <w:r w:rsidRPr="002E087B">
        <w:rPr>
          <w:rFonts w:ascii="Arial" w:hAnsi="Arial" w:cs="Arial"/>
          <w:sz w:val="22"/>
          <w:szCs w:val="22"/>
        </w:rPr>
        <w:t xml:space="preserve">, sem prejuízo da prova em contrário que cabe às empresas fazer, a aplicar a presunção de causalidade enunciada pela jurisprudência do Tribunal de Justiça, segundo a qual as empresas, quando continuam </w:t>
      </w:r>
      <w:proofErr w:type="spellStart"/>
      <w:r w:rsidRPr="002E087B">
        <w:rPr>
          <w:rFonts w:ascii="Arial" w:hAnsi="Arial" w:cs="Arial"/>
          <w:sz w:val="22"/>
          <w:szCs w:val="22"/>
        </w:rPr>
        <w:t>activas</w:t>
      </w:r>
      <w:proofErr w:type="spellEnd"/>
      <w:r w:rsidRPr="002E087B">
        <w:rPr>
          <w:rFonts w:ascii="Arial" w:hAnsi="Arial" w:cs="Arial"/>
          <w:sz w:val="22"/>
          <w:szCs w:val="22"/>
        </w:rPr>
        <w:t xml:space="preserve"> no mercado, levam em conta as informações trocadas com os seus concorrentes.</w:t>
      </w:r>
    </w:p>
    <w:p w:rsidR="00D80FE6" w:rsidRPr="002E087B" w:rsidRDefault="00D80FE6" w:rsidP="002E087B">
      <w:pPr>
        <w:pStyle w:val="c08dispositif"/>
        <w:spacing w:line="276" w:lineRule="auto"/>
        <w:ind w:left="0"/>
        <w:rPr>
          <w:rFonts w:ascii="Arial" w:hAnsi="Arial" w:cs="Arial"/>
          <w:sz w:val="22"/>
          <w:szCs w:val="22"/>
        </w:rPr>
      </w:pPr>
      <w:r w:rsidRPr="002E087B">
        <w:rPr>
          <w:rFonts w:ascii="Arial" w:hAnsi="Arial" w:cs="Arial"/>
          <w:sz w:val="22"/>
          <w:szCs w:val="22"/>
        </w:rPr>
        <w:t xml:space="preserve">3) Na medida em que a empresa que participa na concertação permaneça </w:t>
      </w:r>
      <w:proofErr w:type="spellStart"/>
      <w:r w:rsidRPr="002E087B">
        <w:rPr>
          <w:rFonts w:ascii="Arial" w:hAnsi="Arial" w:cs="Arial"/>
          <w:sz w:val="22"/>
          <w:szCs w:val="22"/>
        </w:rPr>
        <w:t>activa</w:t>
      </w:r>
      <w:proofErr w:type="spellEnd"/>
      <w:r w:rsidRPr="002E087B">
        <w:rPr>
          <w:rFonts w:ascii="Arial" w:hAnsi="Arial" w:cs="Arial"/>
          <w:sz w:val="22"/>
          <w:szCs w:val="22"/>
        </w:rPr>
        <w:t xml:space="preserve"> no mercado de referência, a presunção do nexo de causalidade entre a concertação e a </w:t>
      </w:r>
      <w:proofErr w:type="spellStart"/>
      <w:r w:rsidRPr="002E087B">
        <w:rPr>
          <w:rFonts w:ascii="Arial" w:hAnsi="Arial" w:cs="Arial"/>
          <w:sz w:val="22"/>
          <w:szCs w:val="22"/>
        </w:rPr>
        <w:t>actuação</w:t>
      </w:r>
      <w:proofErr w:type="spellEnd"/>
      <w:r w:rsidRPr="002E087B">
        <w:rPr>
          <w:rFonts w:ascii="Arial" w:hAnsi="Arial" w:cs="Arial"/>
          <w:sz w:val="22"/>
          <w:szCs w:val="22"/>
        </w:rPr>
        <w:t xml:space="preserve"> no mercado dessa empresa é aplicável mesmo que a concertação se baseie numa única reunião das empresas em causa.</w:t>
      </w:r>
    </w:p>
    <w:p w:rsidR="008F6466" w:rsidRPr="002E087B" w:rsidRDefault="008F6466" w:rsidP="002E087B">
      <w:pPr>
        <w:rPr>
          <w:rFonts w:ascii="Arial" w:hAnsi="Arial" w:cs="Arial"/>
        </w:rPr>
      </w:pPr>
    </w:p>
    <w:p w:rsidR="002E087B" w:rsidRPr="002E087B" w:rsidRDefault="002E087B">
      <w:pPr>
        <w:rPr>
          <w:rFonts w:ascii="Arial" w:hAnsi="Arial" w:cs="Arial"/>
        </w:rPr>
      </w:pPr>
    </w:p>
    <w:sectPr w:rsidR="002E087B" w:rsidRPr="002E087B" w:rsidSect="008F646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80FE6"/>
    <w:rsid w:val="002E087B"/>
    <w:rsid w:val="008F6466"/>
    <w:rsid w:val="00D80FE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4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0FE6"/>
    <w:rPr>
      <w:color w:val="0000FF"/>
      <w:u w:val="single"/>
    </w:rPr>
  </w:style>
  <w:style w:type="paragraph" w:customStyle="1" w:styleId="c01pointnumerotealtn">
    <w:name w:val="c01pointnumerotealtn"/>
    <w:basedOn w:val="Normal"/>
    <w:rsid w:val="00D80FE6"/>
    <w:pPr>
      <w:spacing w:before="100" w:beforeAutospacing="1" w:after="240" w:line="240" w:lineRule="auto"/>
      <w:ind w:left="567" w:hanging="539"/>
      <w:jc w:val="both"/>
    </w:pPr>
    <w:rPr>
      <w:rFonts w:ascii="Times New Roman" w:eastAsia="Times New Roman" w:hAnsi="Times New Roman" w:cs="Times New Roman"/>
      <w:sz w:val="24"/>
      <w:szCs w:val="24"/>
      <w:lang w:eastAsia="pt-PT"/>
    </w:rPr>
  </w:style>
  <w:style w:type="paragraph" w:customStyle="1" w:styleId="c02alineaalta">
    <w:name w:val="c02alineaalta"/>
    <w:basedOn w:val="Normal"/>
    <w:rsid w:val="00D80FE6"/>
    <w:pPr>
      <w:spacing w:after="240" w:line="240" w:lineRule="auto"/>
      <w:ind w:left="567"/>
      <w:jc w:val="both"/>
    </w:pPr>
    <w:rPr>
      <w:rFonts w:ascii="Times New Roman" w:eastAsia="Times New Roman" w:hAnsi="Times New Roman" w:cs="Times New Roman"/>
      <w:sz w:val="24"/>
      <w:szCs w:val="24"/>
      <w:lang w:eastAsia="pt-PT"/>
    </w:rPr>
  </w:style>
  <w:style w:type="paragraph" w:customStyle="1" w:styleId="c03tiretlong">
    <w:name w:val="c03tiretlong"/>
    <w:basedOn w:val="Normal"/>
    <w:rsid w:val="00D80FE6"/>
    <w:pPr>
      <w:spacing w:before="100" w:beforeAutospacing="1" w:after="240" w:line="240" w:lineRule="auto"/>
      <w:ind w:left="1134" w:hanging="567"/>
      <w:jc w:val="both"/>
    </w:pPr>
    <w:rPr>
      <w:rFonts w:ascii="Times New Roman" w:eastAsia="Times New Roman" w:hAnsi="Times New Roman" w:cs="Times New Roman"/>
      <w:sz w:val="24"/>
      <w:szCs w:val="24"/>
      <w:lang w:eastAsia="pt-PT"/>
    </w:rPr>
  </w:style>
  <w:style w:type="paragraph" w:customStyle="1" w:styleId="c04titre1">
    <w:name w:val="c04titre1"/>
    <w:basedOn w:val="Normal"/>
    <w:rsid w:val="00D80FE6"/>
    <w:pPr>
      <w:spacing w:before="480" w:after="240" w:line="240" w:lineRule="auto"/>
      <w:ind w:left="567"/>
      <w:jc w:val="both"/>
    </w:pPr>
    <w:rPr>
      <w:rFonts w:ascii="Times New Roman" w:eastAsia="Times New Roman" w:hAnsi="Times New Roman" w:cs="Times New Roman"/>
      <w:b/>
      <w:bCs/>
      <w:sz w:val="24"/>
      <w:szCs w:val="24"/>
      <w:lang w:eastAsia="pt-PT"/>
    </w:rPr>
  </w:style>
  <w:style w:type="paragraph" w:customStyle="1" w:styleId="c05titre2">
    <w:name w:val="c05titre2"/>
    <w:basedOn w:val="Normal"/>
    <w:rsid w:val="00D80FE6"/>
    <w:pPr>
      <w:spacing w:after="240" w:line="240" w:lineRule="auto"/>
      <w:ind w:left="567"/>
      <w:jc w:val="both"/>
    </w:pPr>
    <w:rPr>
      <w:rFonts w:ascii="Times New Roman" w:eastAsia="Times New Roman" w:hAnsi="Times New Roman" w:cs="Times New Roman"/>
      <w:i/>
      <w:iCs/>
      <w:sz w:val="24"/>
      <w:szCs w:val="24"/>
      <w:lang w:eastAsia="pt-PT"/>
    </w:rPr>
  </w:style>
  <w:style w:type="paragraph" w:customStyle="1" w:styleId="c08dispositif">
    <w:name w:val="c08dispositif"/>
    <w:basedOn w:val="Normal"/>
    <w:rsid w:val="00D80FE6"/>
    <w:pPr>
      <w:spacing w:before="100" w:beforeAutospacing="1" w:after="240" w:line="240" w:lineRule="auto"/>
      <w:ind w:left="1134" w:hanging="567"/>
      <w:jc w:val="both"/>
    </w:pPr>
    <w:rPr>
      <w:rFonts w:ascii="Times New Roman" w:eastAsia="Times New Roman" w:hAnsi="Times New Roman" w:cs="Times New Roman"/>
      <w:b/>
      <w:bCs/>
      <w:sz w:val="24"/>
      <w:szCs w:val="24"/>
      <w:lang w:eastAsia="pt-PT"/>
    </w:rPr>
  </w:style>
  <w:style w:type="paragraph" w:customStyle="1" w:styleId="c19centre">
    <w:name w:val="c19centre"/>
    <w:basedOn w:val="Normal"/>
    <w:rsid w:val="00D80FE6"/>
    <w:pPr>
      <w:spacing w:after="240" w:line="240" w:lineRule="auto"/>
      <w:ind w:left="567"/>
      <w:jc w:val="center"/>
    </w:pPr>
    <w:rPr>
      <w:rFonts w:ascii="Times New Roman" w:eastAsia="Times New Roman" w:hAnsi="Times New Roman" w:cs="Times New Roman"/>
      <w:sz w:val="24"/>
      <w:szCs w:val="24"/>
      <w:lang w:eastAsia="pt-PT"/>
    </w:rPr>
  </w:style>
  <w:style w:type="paragraph" w:customStyle="1" w:styleId="c09marge0avecretrait">
    <w:name w:val="c09marge0avecretrait"/>
    <w:basedOn w:val="Normal"/>
    <w:rsid w:val="00D80FE6"/>
    <w:pPr>
      <w:spacing w:after="240" w:line="240" w:lineRule="auto"/>
      <w:ind w:left="1134" w:hanging="567"/>
      <w:jc w:val="both"/>
    </w:pPr>
    <w:rPr>
      <w:rFonts w:ascii="Times New Roman" w:eastAsia="Times New Roman" w:hAnsi="Times New Roman" w:cs="Times New Roman"/>
      <w:sz w:val="24"/>
      <w:szCs w:val="24"/>
      <w:lang w:eastAsia="pt-PT"/>
    </w:rPr>
  </w:style>
  <w:style w:type="paragraph" w:customStyle="1" w:styleId="c75debutdesmotifs">
    <w:name w:val="c75debutdesmotifs"/>
    <w:basedOn w:val="Normal"/>
    <w:rsid w:val="00D80FE6"/>
    <w:pPr>
      <w:spacing w:before="480" w:after="480" w:line="240" w:lineRule="auto"/>
      <w:ind w:left="567"/>
      <w:jc w:val="center"/>
    </w:pPr>
    <w:rPr>
      <w:rFonts w:ascii="Times New Roman" w:eastAsia="Times New Roman" w:hAnsi="Times New Roman" w:cs="Times New Roman"/>
      <w:b/>
      <w:bCs/>
      <w:sz w:val="24"/>
      <w:szCs w:val="24"/>
      <w:lang w:eastAsia="pt-PT"/>
    </w:rPr>
  </w:style>
  <w:style w:type="paragraph" w:customStyle="1" w:styleId="c71indicateur">
    <w:name w:val="c71indicateur"/>
    <w:basedOn w:val="Normal"/>
    <w:rsid w:val="00D80FE6"/>
    <w:pPr>
      <w:spacing w:before="600" w:after="560" w:line="240" w:lineRule="auto"/>
      <w:ind w:left="567"/>
      <w:jc w:val="center"/>
    </w:pPr>
    <w:rPr>
      <w:rFonts w:ascii="Times New Roman" w:eastAsia="Times New Roman" w:hAnsi="Times New Roman" w:cs="Times New Roman"/>
      <w:sz w:val="24"/>
      <w:szCs w:val="24"/>
      <w:lang w:eastAsia="pt-PT"/>
    </w:rPr>
  </w:style>
  <w:style w:type="paragraph" w:customStyle="1" w:styleId="c21titre1">
    <w:name w:val="c21titre1"/>
    <w:basedOn w:val="Normal"/>
    <w:rsid w:val="00D80FE6"/>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c41dispositifintroduction">
    <w:name w:val="c41dispositifintroduction"/>
    <w:basedOn w:val="Normal"/>
    <w:rsid w:val="00D80FE6"/>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divs>
    <w:div w:id="1247501348">
      <w:bodyDiv w:val="1"/>
      <w:marLeft w:val="0"/>
      <w:marRight w:val="0"/>
      <w:marTop w:val="0"/>
      <w:marBottom w:val="0"/>
      <w:divBdr>
        <w:top w:val="none" w:sz="0" w:space="0" w:color="auto"/>
        <w:left w:val="none" w:sz="0" w:space="0" w:color="auto"/>
        <w:bottom w:val="none" w:sz="0" w:space="0" w:color="auto"/>
        <w:right w:val="none" w:sz="0" w:space="0" w:color="auto"/>
      </w:divBdr>
      <w:divsChild>
        <w:div w:id="1059093585">
          <w:marLeft w:val="0"/>
          <w:marRight w:val="0"/>
          <w:marTop w:val="0"/>
          <w:marBottom w:val="0"/>
          <w:divBdr>
            <w:top w:val="none" w:sz="0" w:space="0" w:color="auto"/>
            <w:left w:val="none" w:sz="0" w:space="0" w:color="auto"/>
            <w:bottom w:val="none" w:sz="0" w:space="0" w:color="auto"/>
            <w:right w:val="none" w:sz="0" w:space="0" w:color="auto"/>
          </w:divBdr>
          <w:divsChild>
            <w:div w:id="1101871566">
              <w:marLeft w:val="0"/>
              <w:marRight w:val="0"/>
              <w:marTop w:val="0"/>
              <w:marBottom w:val="0"/>
              <w:divBdr>
                <w:top w:val="none" w:sz="0" w:space="0" w:color="auto"/>
                <w:left w:val="none" w:sz="0" w:space="0" w:color="auto"/>
                <w:bottom w:val="none" w:sz="0" w:space="0" w:color="auto"/>
                <w:right w:val="none" w:sz="0" w:space="0" w:color="auto"/>
              </w:divBdr>
              <w:divsChild>
                <w:div w:id="1100874340">
                  <w:marLeft w:val="0"/>
                  <w:marRight w:val="0"/>
                  <w:marTop w:val="0"/>
                  <w:marBottom w:val="0"/>
                  <w:divBdr>
                    <w:top w:val="none" w:sz="0" w:space="0" w:color="auto"/>
                    <w:left w:val="none" w:sz="0" w:space="0" w:color="auto"/>
                    <w:bottom w:val="none" w:sz="0" w:space="0" w:color="auto"/>
                    <w:right w:val="none" w:sz="0" w:space="0" w:color="auto"/>
                  </w:divBdr>
                  <w:divsChild>
                    <w:div w:id="891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6068</Words>
  <Characters>32769</Characters>
  <Application>Microsoft Office Word</Application>
  <DocSecurity>0</DocSecurity>
  <Lines>273</Lines>
  <Paragraphs>77</Paragraphs>
  <ScaleCrop>false</ScaleCrop>
  <Company/>
  <LinksUpToDate>false</LinksUpToDate>
  <CharactersWithSpaces>38760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laurent</cp:lastModifiedBy>
  <cp:revision>2</cp:revision>
  <dcterms:created xsi:type="dcterms:W3CDTF">2012-06-09T16:50:00Z</dcterms:created>
  <dcterms:modified xsi:type="dcterms:W3CDTF">2012-06-09T16:52:00Z</dcterms:modified>
</cp:coreProperties>
</file>